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4F46BF"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AA6F4C" w:rsidP="00AC4A99">
            <w:pPr>
              <w:jc w:val="center"/>
              <w:rPr>
                <w:b/>
                <w:szCs w:val="22"/>
              </w:rPr>
            </w:pPr>
            <w:r w:rsidRPr="00AA6F4C">
              <w:rPr>
                <w:b/>
                <w:szCs w:val="22"/>
              </w:rPr>
              <w:t>Shared Services Joint</w:t>
            </w:r>
            <w:r w:rsidR="00BE2A3F" w:rsidRPr="00BE2A3F">
              <w:rPr>
                <w:b/>
                <w:szCs w:val="22"/>
              </w:rPr>
              <w:t xml:space="preserve"> </w:t>
            </w:r>
            <w:r w:rsidR="00EB2D32" w:rsidRPr="00BE2A3F">
              <w:rPr>
                <w:b/>
                <w:szCs w:val="22"/>
              </w:rPr>
              <w:t>Committee</w:t>
            </w:r>
          </w:p>
        </w:tc>
        <w:tc>
          <w:tcPr>
            <w:tcW w:w="2268" w:type="dxa"/>
            <w:gridSpan w:val="2"/>
            <w:tcBorders>
              <w:bottom w:val="nil"/>
            </w:tcBorders>
            <w:vAlign w:val="center"/>
          </w:tcPr>
          <w:p w:rsidR="002F5C5E" w:rsidRPr="009E2B84" w:rsidRDefault="00C123A9" w:rsidP="0047741D">
            <w:pPr>
              <w:jc w:val="center"/>
              <w:rPr>
                <w:b/>
              </w:rPr>
            </w:pPr>
            <w:r w:rsidRPr="00C123A9">
              <w:t>7 February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AA6F4C" w:rsidRDefault="0047741D" w:rsidP="00E2196F">
            <w:pPr>
              <w:rPr>
                <w:b/>
              </w:rPr>
            </w:pPr>
          </w:p>
          <w:p w:rsidR="0047741D" w:rsidRPr="00AA6F4C" w:rsidRDefault="00AA6F4C" w:rsidP="00E2196F">
            <w:r w:rsidRPr="00AA6F4C">
              <w:t>Financial and Assurance Shared Services Annual Accounts 2017-18</w:t>
            </w:r>
          </w:p>
          <w:p w:rsidR="0047741D" w:rsidRPr="00AA6F4C" w:rsidRDefault="0047741D" w:rsidP="00E2196F">
            <w:pPr>
              <w:jc w:val="center"/>
              <w:rPr>
                <w:b/>
              </w:rPr>
            </w:pPr>
          </w:p>
        </w:tc>
        <w:tc>
          <w:tcPr>
            <w:tcW w:w="2977" w:type="dxa"/>
            <w:gridSpan w:val="2"/>
            <w:vAlign w:val="center"/>
          </w:tcPr>
          <w:p w:rsidR="0047741D" w:rsidRPr="0016289E" w:rsidRDefault="00C123A9" w:rsidP="00297B5B">
            <w:pPr>
              <w:jc w:val="center"/>
              <w:rPr>
                <w:i/>
                <w:color w:val="1F4E79" w:themeColor="accent1" w:themeShade="80"/>
              </w:rPr>
            </w:pPr>
            <w:r>
              <w:rPr>
                <w:rFonts w:cs="Arial"/>
                <w:color w:val="2E2D2D"/>
              </w:rPr>
              <w:t>Deputy Chief Executive (Resources &amp; Shared Services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AA6F4C">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AA6F4C" w:rsidRDefault="00AA6F4C" w:rsidP="00AA6F4C">
      <w:pPr>
        <w:autoSpaceDE w:val="0"/>
        <w:autoSpaceDN w:val="0"/>
        <w:adjustRightInd w:val="0"/>
        <w:ind w:left="360"/>
        <w:jc w:val="both"/>
        <w:rPr>
          <w:rFonts w:ascii="ArialMT" w:hAnsi="ArialMT" w:cs="ArialMT"/>
          <w:szCs w:val="22"/>
        </w:rPr>
      </w:pPr>
      <w:r>
        <w:rPr>
          <w:rFonts w:ascii="ArialMT" w:hAnsi="ArialMT" w:cs="ArialMT"/>
          <w:szCs w:val="22"/>
        </w:rPr>
        <w:t>This report contains the Accounting Statements and associated Governance and Internal Audit Statements for the year ended 31</w:t>
      </w:r>
      <w:r w:rsidRPr="00C123A9">
        <w:rPr>
          <w:rFonts w:ascii="ArialMT" w:hAnsi="ArialMT" w:cs="ArialMT"/>
          <w:szCs w:val="22"/>
        </w:rPr>
        <w:t xml:space="preserve">st </w:t>
      </w:r>
      <w:r w:rsidR="00C50D18">
        <w:rPr>
          <w:rFonts w:ascii="ArialMT" w:hAnsi="ArialMT" w:cs="ArialMT"/>
          <w:szCs w:val="22"/>
        </w:rPr>
        <w:t>March 2018</w:t>
      </w:r>
      <w:r>
        <w:rPr>
          <w:rFonts w:ascii="ArialMT" w:hAnsi="ArialMT" w:cs="ArialMT"/>
          <w:szCs w:val="22"/>
        </w:rPr>
        <w:t xml:space="preserve"> in preparation for the “light touch” audit inspection to be undertaken and reported to Joint Committee o</w:t>
      </w:r>
      <w:r w:rsidRPr="00297B5B">
        <w:rPr>
          <w:rFonts w:ascii="ArialMT" w:hAnsi="ArialMT" w:cs="ArialMT"/>
          <w:szCs w:val="22"/>
        </w:rPr>
        <w:t xml:space="preserve">n </w:t>
      </w:r>
      <w:r w:rsidR="00297B5B" w:rsidRPr="00297B5B">
        <w:rPr>
          <w:szCs w:val="22"/>
        </w:rPr>
        <w:t>7</w:t>
      </w:r>
      <w:r w:rsidR="00297B5B" w:rsidRPr="00297B5B">
        <w:rPr>
          <w:szCs w:val="22"/>
          <w:vertAlign w:val="superscript"/>
        </w:rPr>
        <w:t>th</w:t>
      </w:r>
      <w:r w:rsidR="00297B5B" w:rsidRPr="00297B5B">
        <w:rPr>
          <w:szCs w:val="22"/>
        </w:rPr>
        <w:t xml:space="preserve"> February 2019</w:t>
      </w:r>
      <w:r>
        <w:rPr>
          <w:rFonts w:ascii="ArialMT" w:hAnsi="ArialMT" w:cs="ArialMT"/>
          <w:szCs w:val="22"/>
        </w:rPr>
        <w:t xml:space="preserve">.  </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C50D18" w:rsidRDefault="002F5C5E" w:rsidP="00525728">
      <w:pPr>
        <w:ind w:left="360" w:hanging="360"/>
        <w:rPr>
          <w:szCs w:val="22"/>
        </w:rPr>
      </w:pPr>
      <w:r w:rsidRPr="00525728">
        <w:rPr>
          <w:szCs w:val="22"/>
        </w:rPr>
        <w:t>2.1</w:t>
      </w:r>
      <w:r w:rsidR="00525728">
        <w:rPr>
          <w:i/>
          <w:color w:val="2E74B5"/>
          <w:szCs w:val="22"/>
        </w:rPr>
        <w:tab/>
        <w:t xml:space="preserve"> </w:t>
      </w:r>
      <w:r w:rsidR="00C50D18" w:rsidRPr="00C50D18">
        <w:rPr>
          <w:szCs w:val="22"/>
        </w:rPr>
        <w:t>That members approve the 2017-18 Accounting Statements below.</w:t>
      </w:r>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0B5251">
      <w:pPr>
        <w:keepNext/>
        <w:numPr>
          <w:ilvl w:val="0"/>
          <w:numId w:val="8"/>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C50D18" w:rsidRDefault="00C50D18" w:rsidP="00C50D18">
      <w:pPr>
        <w:ind w:left="360"/>
        <w:rPr>
          <w:szCs w:val="22"/>
        </w:rPr>
      </w:pPr>
      <w:r>
        <w:rPr>
          <w:szCs w:val="22"/>
        </w:rPr>
        <w:t>The outturn position for Financial and Assurance Shared Services is £1.6</w:t>
      </w:r>
      <w:r w:rsidR="00D16598">
        <w:rPr>
          <w:szCs w:val="22"/>
        </w:rPr>
        <w:t>04</w:t>
      </w:r>
      <w:r>
        <w:rPr>
          <w:szCs w:val="22"/>
        </w:rPr>
        <w:t xml:space="preserve"> million which represents an under spend of £0.0</w:t>
      </w:r>
      <w:r w:rsidR="00D16598">
        <w:rPr>
          <w:szCs w:val="22"/>
        </w:rPr>
        <w:t>51</w:t>
      </w:r>
      <w:r>
        <w:rPr>
          <w:szCs w:val="22"/>
        </w:rPr>
        <w:t xml:space="preserve"> million against the partnership budget.</w:t>
      </w:r>
      <w:r>
        <w:rPr>
          <w:color w:val="2E74B5"/>
          <w:szCs w:val="22"/>
        </w:rPr>
        <w:tab/>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C50D1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vAlign w:val="center"/>
          </w:tcPr>
          <w:p w:rsidR="00772B9C" w:rsidRPr="00C50D18" w:rsidRDefault="00C50D18" w:rsidP="00C50D18">
            <w:pPr>
              <w:jc w:val="center"/>
              <w:rPr>
                <w:rFonts w:ascii="Wingdings 2" w:hAnsi="Wingdings 2"/>
                <w:szCs w:val="22"/>
                <w:highlight w:val="yellow"/>
              </w:rPr>
            </w:pPr>
            <w:r w:rsidRPr="00C50D18">
              <w:rPr>
                <w:rFonts w:ascii="Wingdings 2" w:hAnsi="Wingdings 2"/>
                <w:szCs w:val="22"/>
              </w:rPr>
              <w:t></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9C1143" w:rsidRDefault="002F5C5E" w:rsidP="002F5C5E">
      <w:pPr>
        <w:rPr>
          <w:b/>
          <w:szCs w:val="22"/>
        </w:rPr>
      </w:pPr>
      <w:r w:rsidRPr="009C1143">
        <w:rPr>
          <w:b/>
          <w:szCs w:val="22"/>
        </w:rPr>
        <w:t>5.   BACKGROUND TO THE REPORT</w:t>
      </w:r>
    </w:p>
    <w:p w:rsidR="00C50D18" w:rsidRDefault="00C50D18" w:rsidP="00C50D18">
      <w:pPr>
        <w:autoSpaceDE w:val="0"/>
        <w:autoSpaceDN w:val="0"/>
        <w:adjustRightInd w:val="0"/>
        <w:jc w:val="both"/>
        <w:rPr>
          <w:rFonts w:ascii="ArialMT" w:hAnsi="ArialMT" w:cs="ArialMT"/>
          <w:szCs w:val="22"/>
        </w:rPr>
      </w:pPr>
      <w:r>
        <w:rPr>
          <w:rFonts w:ascii="ArialMT" w:hAnsi="ArialMT" w:cs="ArialMT"/>
          <w:szCs w:val="22"/>
        </w:rPr>
        <w:t xml:space="preserve">Members of the South </w:t>
      </w:r>
      <w:proofErr w:type="spellStart"/>
      <w:r>
        <w:rPr>
          <w:rFonts w:ascii="ArialMT" w:hAnsi="ArialMT" w:cs="ArialMT"/>
          <w:szCs w:val="22"/>
        </w:rPr>
        <w:t>Ribble</w:t>
      </w:r>
      <w:proofErr w:type="spellEnd"/>
      <w:r>
        <w:rPr>
          <w:rFonts w:ascii="ArialMT" w:hAnsi="ArialMT" w:cs="ArialMT"/>
          <w:szCs w:val="22"/>
        </w:rPr>
        <w:t xml:space="preserve"> and Chorley Councils Joint Committee previously approved the use of the Accounting Statements below as a means to providing transparency and inspection to its </w:t>
      </w:r>
      <w:r>
        <w:rPr>
          <w:rFonts w:ascii="ArialMT" w:hAnsi="ArialMT" w:cs="ArialMT"/>
          <w:szCs w:val="22"/>
        </w:rPr>
        <w:lastRenderedPageBreak/>
        <w:t>financial arrangements. It was also agreed that the light touch inspection will be undertaken by the Internal Audit Team within Shared Assurance Services as part of their future Internal Audit Plans.</w:t>
      </w:r>
    </w:p>
    <w:p w:rsidR="00C50D18" w:rsidRDefault="00C50D18" w:rsidP="00C50D18">
      <w:pPr>
        <w:autoSpaceDE w:val="0"/>
        <w:autoSpaceDN w:val="0"/>
        <w:adjustRightInd w:val="0"/>
        <w:jc w:val="both"/>
        <w:rPr>
          <w:rFonts w:ascii="ArialMT" w:hAnsi="ArialMT" w:cs="ArialMT"/>
          <w:szCs w:val="22"/>
        </w:rPr>
      </w:pPr>
    </w:p>
    <w:p w:rsidR="00C50D18" w:rsidRDefault="00C50D18" w:rsidP="00C50D18">
      <w:pPr>
        <w:autoSpaceDE w:val="0"/>
        <w:autoSpaceDN w:val="0"/>
        <w:adjustRightInd w:val="0"/>
        <w:jc w:val="both"/>
        <w:rPr>
          <w:rFonts w:ascii="ArialMT" w:hAnsi="ArialMT" w:cs="ArialMT"/>
          <w:szCs w:val="22"/>
        </w:rPr>
      </w:pPr>
      <w:r>
        <w:rPr>
          <w:rFonts w:ascii="ArialMT" w:hAnsi="ArialMT" w:cs="ArialMT"/>
          <w:szCs w:val="22"/>
        </w:rPr>
        <w:t>This approach has been successfully used for the 2015-16 and 2016-17 Shared Services accounts.</w:t>
      </w:r>
    </w:p>
    <w:p w:rsidR="00C50D18" w:rsidRDefault="00C50D18" w:rsidP="00C50D18">
      <w:pPr>
        <w:autoSpaceDE w:val="0"/>
        <w:autoSpaceDN w:val="0"/>
        <w:adjustRightInd w:val="0"/>
        <w:jc w:val="both"/>
        <w:rPr>
          <w:rFonts w:ascii="ArialMT" w:hAnsi="ArialMT" w:cs="ArialMT"/>
          <w:szCs w:val="22"/>
        </w:rPr>
      </w:pPr>
    </w:p>
    <w:p w:rsidR="00C50D18" w:rsidRDefault="00C50D18" w:rsidP="00C50D18">
      <w:pPr>
        <w:autoSpaceDE w:val="0"/>
        <w:autoSpaceDN w:val="0"/>
        <w:adjustRightInd w:val="0"/>
        <w:jc w:val="both"/>
        <w:rPr>
          <w:rFonts w:ascii="ArialMT" w:hAnsi="ArialMT" w:cs="ArialMT"/>
          <w:szCs w:val="22"/>
        </w:rPr>
      </w:pPr>
      <w:r>
        <w:rPr>
          <w:rFonts w:ascii="ArialMT" w:hAnsi="ArialMT" w:cs="ArialMT"/>
          <w:szCs w:val="22"/>
        </w:rPr>
        <w:t>The statements below are based on actual expenditure incurred against cash budgets only; they do not include central overhead recharges.</w:t>
      </w:r>
    </w:p>
    <w:p w:rsidR="00C50D18" w:rsidRDefault="00C50D18" w:rsidP="002F5C5E">
      <w:pPr>
        <w:rPr>
          <w:b/>
          <w:szCs w:val="22"/>
        </w:rPr>
      </w:pPr>
    </w:p>
    <w:p w:rsidR="002F5C5E" w:rsidRDefault="001938D6" w:rsidP="002F5C5E">
      <w:pPr>
        <w:rPr>
          <w:b/>
          <w:szCs w:val="22"/>
        </w:rPr>
      </w:pPr>
      <w:r>
        <w:rPr>
          <w:b/>
          <w:szCs w:val="22"/>
        </w:rPr>
        <w:t xml:space="preserve">6.   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2F5C5E">
      <w:pPr>
        <w:rPr>
          <w:b/>
          <w:szCs w:val="22"/>
        </w:rPr>
      </w:pPr>
    </w:p>
    <w:p w:rsidR="00C50D18" w:rsidRPr="00E44069" w:rsidRDefault="001938D6" w:rsidP="00E44069">
      <w:pPr>
        <w:ind w:left="426" w:hanging="426"/>
        <w:rPr>
          <w:b/>
          <w:szCs w:val="22"/>
        </w:rPr>
      </w:pPr>
      <w:r>
        <w:rPr>
          <w:b/>
          <w:szCs w:val="22"/>
        </w:rPr>
        <w:t>6.1</w:t>
      </w:r>
      <w:r>
        <w:rPr>
          <w:b/>
          <w:szCs w:val="22"/>
        </w:rPr>
        <w:tab/>
      </w:r>
      <w:r w:rsidR="00C50D18" w:rsidRPr="00A17B2B">
        <w:rPr>
          <w:b/>
          <w:szCs w:val="22"/>
        </w:rPr>
        <w:t>Accounting Statements for 2017-18</w:t>
      </w:r>
      <w:r w:rsidR="00E44069">
        <w:rPr>
          <w:szCs w:val="22"/>
        </w:rPr>
        <w:t xml:space="preserve"> </w:t>
      </w:r>
      <w:r w:rsidR="00E44069" w:rsidRPr="00E44069">
        <w:rPr>
          <w:b/>
          <w:szCs w:val="22"/>
        </w:rPr>
        <w:t xml:space="preserve">- </w:t>
      </w:r>
      <w:r w:rsidR="00C50D18" w:rsidRPr="00E44069">
        <w:rPr>
          <w:b/>
          <w:szCs w:val="22"/>
        </w:rPr>
        <w:t>Budget Outturn Statement</w:t>
      </w:r>
    </w:p>
    <w:p w:rsidR="001938D6" w:rsidRDefault="001938D6" w:rsidP="002F5C5E">
      <w:pPr>
        <w:ind w:left="426"/>
        <w:rPr>
          <w:i/>
          <w:color w:val="0070C0"/>
          <w:szCs w:val="22"/>
        </w:rPr>
      </w:pPr>
    </w:p>
    <w:tbl>
      <w:tblPr>
        <w:tblW w:w="0" w:type="auto"/>
        <w:tblLayout w:type="fixed"/>
        <w:tblLook w:val="04A0" w:firstRow="1" w:lastRow="0" w:firstColumn="1" w:lastColumn="0" w:noHBand="0" w:noVBand="1"/>
      </w:tblPr>
      <w:tblGrid>
        <w:gridCol w:w="3085"/>
        <w:gridCol w:w="1134"/>
        <w:gridCol w:w="1134"/>
        <w:gridCol w:w="1271"/>
        <w:gridCol w:w="3230"/>
      </w:tblGrid>
      <w:tr w:rsidR="00A17B2B" w:rsidTr="00A17B2B">
        <w:trPr>
          <w:trHeight w:val="570"/>
        </w:trPr>
        <w:tc>
          <w:tcPr>
            <w:tcW w:w="308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273F1" w:rsidRDefault="00E273F1">
            <w:pPr>
              <w:rPr>
                <w:rFonts w:cs="Arial"/>
                <w:b/>
                <w:bCs/>
                <w:color w:val="000000"/>
                <w:szCs w:val="22"/>
              </w:rPr>
            </w:pPr>
            <w:r>
              <w:rPr>
                <w:rFonts w:cs="Arial"/>
                <w:b/>
                <w:bCs/>
                <w:color w:val="000000"/>
                <w:szCs w:val="22"/>
              </w:rPr>
              <w:t>Description</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E273F1" w:rsidRDefault="00E273F1" w:rsidP="00E273F1">
            <w:pPr>
              <w:jc w:val="center"/>
              <w:rPr>
                <w:rFonts w:cs="Arial"/>
                <w:b/>
                <w:bCs/>
                <w:color w:val="000000"/>
                <w:szCs w:val="22"/>
              </w:rPr>
            </w:pPr>
            <w:r>
              <w:rPr>
                <w:rFonts w:cs="Arial"/>
                <w:b/>
                <w:bCs/>
                <w:color w:val="000000"/>
                <w:szCs w:val="22"/>
              </w:rPr>
              <w:t>Budget £</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E273F1" w:rsidRDefault="00E273F1" w:rsidP="00E273F1">
            <w:pPr>
              <w:jc w:val="center"/>
              <w:rPr>
                <w:rFonts w:cs="Arial"/>
                <w:b/>
                <w:bCs/>
                <w:color w:val="000000"/>
                <w:szCs w:val="22"/>
              </w:rPr>
            </w:pPr>
            <w:r>
              <w:rPr>
                <w:rFonts w:cs="Arial"/>
                <w:b/>
                <w:bCs/>
                <w:color w:val="000000"/>
                <w:szCs w:val="22"/>
              </w:rPr>
              <w:t>Outturn £</w:t>
            </w:r>
          </w:p>
        </w:tc>
        <w:tc>
          <w:tcPr>
            <w:tcW w:w="127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273F1" w:rsidRDefault="00E273F1" w:rsidP="00E273F1">
            <w:pPr>
              <w:jc w:val="center"/>
              <w:rPr>
                <w:rFonts w:cs="Arial"/>
                <w:b/>
                <w:bCs/>
                <w:color w:val="000000"/>
                <w:szCs w:val="22"/>
              </w:rPr>
            </w:pPr>
            <w:r>
              <w:rPr>
                <w:rFonts w:cs="Arial"/>
                <w:b/>
                <w:bCs/>
                <w:color w:val="000000"/>
                <w:szCs w:val="22"/>
              </w:rPr>
              <w:t>Variation £</w:t>
            </w:r>
          </w:p>
        </w:tc>
        <w:tc>
          <w:tcPr>
            <w:tcW w:w="3230" w:type="dxa"/>
            <w:tcBorders>
              <w:top w:val="single" w:sz="4" w:space="0" w:color="auto"/>
              <w:left w:val="nil"/>
              <w:bottom w:val="single" w:sz="4" w:space="0" w:color="auto"/>
              <w:right w:val="single" w:sz="4" w:space="0" w:color="auto"/>
            </w:tcBorders>
            <w:shd w:val="clear" w:color="auto" w:fill="D9D9D9"/>
            <w:vAlign w:val="bottom"/>
            <w:hideMark/>
          </w:tcPr>
          <w:p w:rsidR="00E273F1" w:rsidRDefault="00E273F1">
            <w:pPr>
              <w:rPr>
                <w:rFonts w:cs="Arial"/>
                <w:b/>
                <w:bCs/>
                <w:color w:val="000000"/>
                <w:szCs w:val="22"/>
              </w:rPr>
            </w:pPr>
            <w:r>
              <w:rPr>
                <w:rFonts w:cs="Arial"/>
                <w:b/>
                <w:bCs/>
                <w:color w:val="000000"/>
                <w:szCs w:val="22"/>
              </w:rPr>
              <w:t>Explanation</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Employee Costs</w:t>
            </w:r>
          </w:p>
        </w:tc>
        <w:tc>
          <w:tcPr>
            <w:tcW w:w="1134" w:type="dxa"/>
            <w:tcBorders>
              <w:top w:val="nil"/>
              <w:left w:val="nil"/>
              <w:bottom w:val="nil"/>
              <w:right w:val="single" w:sz="4" w:space="0" w:color="auto"/>
            </w:tcBorders>
            <w:noWrap/>
            <w:vAlign w:val="bottom"/>
            <w:hideMark/>
          </w:tcPr>
          <w:p w:rsidR="00E273F1" w:rsidRDefault="00E273F1" w:rsidP="00C50D18">
            <w:pPr>
              <w:jc w:val="right"/>
              <w:rPr>
                <w:rFonts w:cs="Arial"/>
                <w:color w:val="000000"/>
                <w:sz w:val="20"/>
              </w:rPr>
            </w:pPr>
            <w:r>
              <w:rPr>
                <w:rFonts w:cs="Arial"/>
                <w:color w:val="000000"/>
                <w:sz w:val="20"/>
              </w:rPr>
              <w:t>1,443,000</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1,440,827</w:t>
            </w:r>
          </w:p>
        </w:tc>
        <w:tc>
          <w:tcPr>
            <w:tcW w:w="1271" w:type="dxa"/>
            <w:tcBorders>
              <w:top w:val="nil"/>
              <w:left w:val="single" w:sz="4" w:space="0" w:color="auto"/>
              <w:bottom w:val="nil"/>
              <w:right w:val="single" w:sz="4" w:space="0" w:color="auto"/>
            </w:tcBorders>
            <w:noWrap/>
            <w:vAlign w:val="bottom"/>
          </w:tcPr>
          <w:p w:rsidR="00E273F1" w:rsidRDefault="00E273F1">
            <w:pPr>
              <w:jc w:val="right"/>
              <w:rPr>
                <w:rFonts w:cs="Arial"/>
                <w:color w:val="000000"/>
                <w:sz w:val="20"/>
              </w:rPr>
            </w:pPr>
            <w:r>
              <w:rPr>
                <w:rFonts w:cs="Arial"/>
                <w:color w:val="000000"/>
                <w:sz w:val="20"/>
              </w:rPr>
              <w:t>2,173</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On budget</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Transport</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11,000</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10,329</w:t>
            </w:r>
          </w:p>
        </w:tc>
        <w:tc>
          <w:tcPr>
            <w:tcW w:w="1271" w:type="dxa"/>
            <w:tcBorders>
              <w:top w:val="nil"/>
              <w:left w:val="single" w:sz="4" w:space="0" w:color="auto"/>
              <w:bottom w:val="nil"/>
              <w:right w:val="single" w:sz="4" w:space="0" w:color="auto"/>
            </w:tcBorders>
            <w:noWrap/>
            <w:vAlign w:val="bottom"/>
          </w:tcPr>
          <w:p w:rsidR="00E273F1" w:rsidRDefault="00E273F1">
            <w:pPr>
              <w:jc w:val="right"/>
              <w:rPr>
                <w:rFonts w:cs="Arial"/>
                <w:color w:val="000000"/>
                <w:sz w:val="20"/>
              </w:rPr>
            </w:pPr>
            <w:r>
              <w:rPr>
                <w:rFonts w:cs="Arial"/>
                <w:color w:val="000000"/>
                <w:sz w:val="20"/>
              </w:rPr>
              <w:t>671</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On budget</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rsidP="00E273F1">
            <w:pPr>
              <w:rPr>
                <w:rFonts w:cs="Arial"/>
                <w:color w:val="000000"/>
                <w:sz w:val="20"/>
              </w:rPr>
            </w:pPr>
            <w:r>
              <w:rPr>
                <w:rFonts w:cs="Arial"/>
                <w:color w:val="000000"/>
                <w:sz w:val="20"/>
              </w:rPr>
              <w:t>Supplies &amp; Services</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64,000</w:t>
            </w:r>
          </w:p>
        </w:tc>
        <w:tc>
          <w:tcPr>
            <w:tcW w:w="1134" w:type="dxa"/>
            <w:tcBorders>
              <w:top w:val="nil"/>
              <w:left w:val="nil"/>
              <w:bottom w:val="nil"/>
              <w:right w:val="single" w:sz="4" w:space="0" w:color="auto"/>
            </w:tcBorders>
            <w:noWrap/>
            <w:vAlign w:val="bottom"/>
            <w:hideMark/>
          </w:tcPr>
          <w:p w:rsidR="00E273F1" w:rsidRDefault="00297B5B" w:rsidP="00297B5B">
            <w:pPr>
              <w:jc w:val="right"/>
              <w:rPr>
                <w:rFonts w:cs="Arial"/>
                <w:color w:val="000000"/>
                <w:sz w:val="20"/>
              </w:rPr>
            </w:pPr>
            <w:r>
              <w:rPr>
                <w:rFonts w:cs="Arial"/>
                <w:color w:val="000000"/>
                <w:sz w:val="20"/>
              </w:rPr>
              <w:t>53</w:t>
            </w:r>
            <w:r w:rsidR="00E273F1">
              <w:rPr>
                <w:rFonts w:cs="Arial"/>
                <w:color w:val="000000"/>
                <w:sz w:val="20"/>
              </w:rPr>
              <w:t>,</w:t>
            </w:r>
            <w:r>
              <w:rPr>
                <w:rFonts w:cs="Arial"/>
                <w:color w:val="000000"/>
                <w:sz w:val="20"/>
              </w:rPr>
              <w:t>238</w:t>
            </w:r>
          </w:p>
        </w:tc>
        <w:tc>
          <w:tcPr>
            <w:tcW w:w="1271" w:type="dxa"/>
            <w:tcBorders>
              <w:top w:val="nil"/>
              <w:left w:val="single" w:sz="4" w:space="0" w:color="auto"/>
              <w:bottom w:val="nil"/>
              <w:right w:val="single" w:sz="4" w:space="0" w:color="auto"/>
            </w:tcBorders>
            <w:noWrap/>
            <w:vAlign w:val="bottom"/>
          </w:tcPr>
          <w:p w:rsidR="00E273F1" w:rsidRDefault="00297B5B">
            <w:pPr>
              <w:jc w:val="right"/>
              <w:rPr>
                <w:rFonts w:cs="Arial"/>
                <w:color w:val="000000"/>
                <w:sz w:val="20"/>
              </w:rPr>
            </w:pPr>
            <w:r>
              <w:rPr>
                <w:rFonts w:cs="Arial"/>
                <w:color w:val="000000"/>
                <w:sz w:val="20"/>
              </w:rPr>
              <w:t>10,762</w:t>
            </w:r>
          </w:p>
        </w:tc>
        <w:tc>
          <w:tcPr>
            <w:tcW w:w="3230" w:type="dxa"/>
            <w:tcBorders>
              <w:top w:val="nil"/>
              <w:left w:val="nil"/>
              <w:bottom w:val="nil"/>
              <w:right w:val="single" w:sz="4" w:space="0" w:color="auto"/>
            </w:tcBorders>
            <w:noWrap/>
            <w:vAlign w:val="bottom"/>
            <w:hideMark/>
          </w:tcPr>
          <w:p w:rsidR="00E273F1" w:rsidRDefault="00297B5B">
            <w:pPr>
              <w:rPr>
                <w:rFonts w:cs="Arial"/>
                <w:color w:val="000000"/>
                <w:sz w:val="20"/>
              </w:rPr>
            </w:pPr>
            <w:r>
              <w:rPr>
                <w:rFonts w:cs="Arial"/>
                <w:color w:val="000000"/>
                <w:sz w:val="20"/>
              </w:rPr>
              <w:t>Accumulation of small variances</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LCC Audit Budget</w:t>
            </w:r>
            <w:r w:rsidR="00E94202">
              <w:rPr>
                <w:rFonts w:cs="Arial"/>
                <w:color w:val="000000"/>
                <w:sz w:val="20"/>
              </w:rPr>
              <w:t xml:space="preserve"> </w:t>
            </w:r>
            <w:r w:rsidR="00E94202" w:rsidRPr="00E94202">
              <w:rPr>
                <w:rFonts w:cs="Arial"/>
                <w:color w:val="000000"/>
                <w:sz w:val="20"/>
                <w:vertAlign w:val="superscript"/>
              </w:rPr>
              <w:t>(1)</w:t>
            </w:r>
          </w:p>
        </w:tc>
        <w:tc>
          <w:tcPr>
            <w:tcW w:w="1134" w:type="dxa"/>
            <w:tcBorders>
              <w:top w:val="nil"/>
              <w:left w:val="nil"/>
              <w:bottom w:val="nil"/>
              <w:right w:val="single" w:sz="4" w:space="0" w:color="auto"/>
            </w:tcBorders>
            <w:noWrap/>
            <w:vAlign w:val="bottom"/>
            <w:hideMark/>
          </w:tcPr>
          <w:p w:rsidR="00E273F1" w:rsidRDefault="00E273F1" w:rsidP="00C50D18">
            <w:pPr>
              <w:jc w:val="right"/>
              <w:rPr>
                <w:rFonts w:cs="Arial"/>
                <w:color w:val="000000"/>
                <w:sz w:val="20"/>
              </w:rPr>
            </w:pPr>
            <w:r>
              <w:rPr>
                <w:rFonts w:cs="Arial"/>
                <w:color w:val="000000"/>
                <w:sz w:val="20"/>
              </w:rPr>
              <w:t>12,000</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4,355</w:t>
            </w:r>
          </w:p>
        </w:tc>
        <w:tc>
          <w:tcPr>
            <w:tcW w:w="1271" w:type="dxa"/>
            <w:tcBorders>
              <w:top w:val="nil"/>
              <w:left w:val="single" w:sz="4" w:space="0" w:color="auto"/>
              <w:bottom w:val="nil"/>
              <w:right w:val="single" w:sz="4" w:space="0" w:color="auto"/>
            </w:tcBorders>
            <w:noWrap/>
            <w:vAlign w:val="bottom"/>
          </w:tcPr>
          <w:p w:rsidR="00E273F1" w:rsidRDefault="00A17B2B">
            <w:pPr>
              <w:jc w:val="right"/>
              <w:rPr>
                <w:rFonts w:cs="Arial"/>
                <w:color w:val="000000"/>
                <w:sz w:val="20"/>
              </w:rPr>
            </w:pPr>
            <w:r>
              <w:rPr>
                <w:rFonts w:cs="Arial"/>
                <w:color w:val="000000"/>
                <w:sz w:val="20"/>
              </w:rPr>
              <w:t>7,645</w:t>
            </w:r>
          </w:p>
        </w:tc>
        <w:tc>
          <w:tcPr>
            <w:tcW w:w="3230" w:type="dxa"/>
            <w:tcBorders>
              <w:top w:val="nil"/>
              <w:left w:val="nil"/>
              <w:bottom w:val="nil"/>
              <w:right w:val="single" w:sz="4" w:space="0" w:color="auto"/>
            </w:tcBorders>
            <w:noWrap/>
            <w:vAlign w:val="bottom"/>
            <w:hideMark/>
          </w:tcPr>
          <w:p w:rsidR="00E273F1" w:rsidRDefault="0016289E">
            <w:pPr>
              <w:rPr>
                <w:rFonts w:cs="Arial"/>
                <w:color w:val="000000"/>
                <w:sz w:val="20"/>
              </w:rPr>
            </w:pPr>
            <w:r>
              <w:rPr>
                <w:rFonts w:cs="Arial"/>
                <w:color w:val="000000"/>
                <w:sz w:val="20"/>
              </w:rPr>
              <w:t xml:space="preserve">See </w:t>
            </w:r>
            <w:r w:rsidRPr="0016289E">
              <w:rPr>
                <w:rFonts w:cs="Arial"/>
                <w:color w:val="000000"/>
                <w:sz w:val="20"/>
                <w:vertAlign w:val="superscript"/>
              </w:rPr>
              <w:t>(1)</w:t>
            </w:r>
            <w:r>
              <w:rPr>
                <w:rFonts w:cs="Arial"/>
                <w:color w:val="000000"/>
                <w:sz w:val="20"/>
              </w:rPr>
              <w:t xml:space="preserve"> below</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Financial Management Information System</w:t>
            </w:r>
            <w:r w:rsidR="00E94202">
              <w:rPr>
                <w:rFonts w:cs="Arial"/>
                <w:color w:val="000000"/>
                <w:sz w:val="20"/>
              </w:rPr>
              <w:t xml:space="preserve"> </w:t>
            </w:r>
            <w:r w:rsidR="00E94202" w:rsidRPr="00E94202">
              <w:rPr>
                <w:rFonts w:cs="Arial"/>
                <w:color w:val="000000"/>
                <w:sz w:val="20"/>
                <w:vertAlign w:val="superscript"/>
              </w:rPr>
              <w:t>(2)</w:t>
            </w:r>
          </w:p>
        </w:tc>
        <w:tc>
          <w:tcPr>
            <w:tcW w:w="1134" w:type="dxa"/>
            <w:tcBorders>
              <w:top w:val="nil"/>
              <w:left w:val="nil"/>
              <w:bottom w:val="nil"/>
              <w:right w:val="single" w:sz="4" w:space="0" w:color="auto"/>
            </w:tcBorders>
            <w:noWrap/>
            <w:vAlign w:val="bottom"/>
            <w:hideMark/>
          </w:tcPr>
          <w:p w:rsidR="00E273F1" w:rsidRDefault="00E273F1" w:rsidP="00C50D18">
            <w:pPr>
              <w:jc w:val="right"/>
              <w:rPr>
                <w:rFonts w:cs="Arial"/>
                <w:color w:val="000000"/>
                <w:sz w:val="20"/>
              </w:rPr>
            </w:pPr>
            <w:r>
              <w:rPr>
                <w:rFonts w:cs="Arial"/>
                <w:color w:val="000000"/>
                <w:sz w:val="20"/>
              </w:rPr>
              <w:t>72,500</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72,576</w:t>
            </w:r>
          </w:p>
        </w:tc>
        <w:tc>
          <w:tcPr>
            <w:tcW w:w="1271" w:type="dxa"/>
            <w:tcBorders>
              <w:top w:val="nil"/>
              <w:left w:val="single" w:sz="4" w:space="0" w:color="auto"/>
              <w:bottom w:val="nil"/>
              <w:right w:val="single" w:sz="4" w:space="0" w:color="auto"/>
            </w:tcBorders>
            <w:noWrap/>
            <w:vAlign w:val="bottom"/>
          </w:tcPr>
          <w:p w:rsidR="00E273F1" w:rsidRDefault="00E273F1">
            <w:pPr>
              <w:jc w:val="right"/>
              <w:rPr>
                <w:rFonts w:cs="Arial"/>
                <w:color w:val="000000"/>
                <w:sz w:val="20"/>
              </w:rPr>
            </w:pPr>
            <w:r>
              <w:rPr>
                <w:rFonts w:cs="Arial"/>
                <w:color w:val="000000"/>
                <w:sz w:val="20"/>
              </w:rPr>
              <w:t>(76)</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On budget</w:t>
            </w:r>
          </w:p>
        </w:tc>
      </w:tr>
      <w:tr w:rsidR="00A17B2B" w:rsidTr="00A17B2B">
        <w:trPr>
          <w:trHeight w:val="285"/>
        </w:trPr>
        <w:tc>
          <w:tcPr>
            <w:tcW w:w="3085" w:type="dxa"/>
            <w:tcBorders>
              <w:top w:val="nil"/>
              <w:left w:val="single" w:sz="4" w:space="0" w:color="auto"/>
              <w:bottom w:val="nil"/>
              <w:right w:val="single" w:sz="4" w:space="0" w:color="auto"/>
            </w:tcBorders>
            <w:noWrap/>
            <w:vAlign w:val="bottom"/>
          </w:tcPr>
          <w:p w:rsidR="00E273F1" w:rsidRDefault="00E273F1" w:rsidP="00E94202">
            <w:pPr>
              <w:rPr>
                <w:rFonts w:cs="Arial"/>
                <w:color w:val="000000"/>
                <w:sz w:val="20"/>
              </w:rPr>
            </w:pPr>
            <w:r>
              <w:rPr>
                <w:rFonts w:cs="Arial"/>
                <w:color w:val="000000"/>
                <w:sz w:val="20"/>
              </w:rPr>
              <w:t xml:space="preserve">Financial System Projects </w:t>
            </w:r>
            <w:r w:rsidR="00E94202" w:rsidRPr="00E94202">
              <w:rPr>
                <w:rFonts w:cs="Arial"/>
                <w:color w:val="000000"/>
                <w:sz w:val="20"/>
                <w:vertAlign w:val="superscript"/>
              </w:rPr>
              <w:t>(3)</w:t>
            </w:r>
          </w:p>
        </w:tc>
        <w:tc>
          <w:tcPr>
            <w:tcW w:w="1134" w:type="dxa"/>
            <w:tcBorders>
              <w:top w:val="nil"/>
              <w:left w:val="nil"/>
              <w:bottom w:val="nil"/>
              <w:right w:val="single" w:sz="4" w:space="0" w:color="auto"/>
            </w:tcBorders>
            <w:noWrap/>
            <w:vAlign w:val="bottom"/>
          </w:tcPr>
          <w:p w:rsidR="00E273F1" w:rsidRDefault="00E273F1" w:rsidP="00C50D18">
            <w:pPr>
              <w:jc w:val="right"/>
              <w:rPr>
                <w:rFonts w:cs="Arial"/>
                <w:color w:val="000000"/>
                <w:sz w:val="20"/>
              </w:rPr>
            </w:pPr>
            <w:r>
              <w:rPr>
                <w:rFonts w:cs="Arial"/>
                <w:color w:val="000000"/>
                <w:sz w:val="20"/>
              </w:rPr>
              <w:t>52,500</w:t>
            </w:r>
          </w:p>
        </w:tc>
        <w:tc>
          <w:tcPr>
            <w:tcW w:w="1134" w:type="dxa"/>
            <w:tcBorders>
              <w:top w:val="nil"/>
              <w:left w:val="nil"/>
              <w:bottom w:val="nil"/>
              <w:right w:val="single" w:sz="4" w:space="0" w:color="auto"/>
            </w:tcBorders>
            <w:noWrap/>
            <w:vAlign w:val="bottom"/>
          </w:tcPr>
          <w:p w:rsidR="00E273F1" w:rsidRDefault="00E273F1">
            <w:pPr>
              <w:jc w:val="right"/>
              <w:rPr>
                <w:rFonts w:cs="Arial"/>
                <w:color w:val="000000"/>
                <w:sz w:val="20"/>
              </w:rPr>
            </w:pPr>
            <w:r>
              <w:rPr>
                <w:rFonts w:cs="Arial"/>
                <w:color w:val="000000"/>
                <w:sz w:val="20"/>
              </w:rPr>
              <w:t>22,310</w:t>
            </w:r>
          </w:p>
        </w:tc>
        <w:tc>
          <w:tcPr>
            <w:tcW w:w="1271" w:type="dxa"/>
            <w:tcBorders>
              <w:top w:val="nil"/>
              <w:left w:val="single" w:sz="4" w:space="0" w:color="auto"/>
              <w:bottom w:val="nil"/>
              <w:right w:val="single" w:sz="4" w:space="0" w:color="auto"/>
            </w:tcBorders>
            <w:noWrap/>
            <w:vAlign w:val="bottom"/>
          </w:tcPr>
          <w:p w:rsidR="00E273F1" w:rsidRDefault="00A17B2B">
            <w:pPr>
              <w:jc w:val="right"/>
              <w:rPr>
                <w:rFonts w:cs="Arial"/>
                <w:color w:val="000000"/>
                <w:sz w:val="20"/>
              </w:rPr>
            </w:pPr>
            <w:r>
              <w:rPr>
                <w:rFonts w:cs="Arial"/>
                <w:color w:val="000000"/>
                <w:sz w:val="20"/>
              </w:rPr>
              <w:t>30,190</w:t>
            </w:r>
          </w:p>
        </w:tc>
        <w:tc>
          <w:tcPr>
            <w:tcW w:w="3230" w:type="dxa"/>
            <w:tcBorders>
              <w:top w:val="nil"/>
              <w:left w:val="nil"/>
              <w:bottom w:val="nil"/>
              <w:right w:val="single" w:sz="4" w:space="0" w:color="auto"/>
            </w:tcBorders>
            <w:noWrap/>
            <w:vAlign w:val="bottom"/>
          </w:tcPr>
          <w:p w:rsidR="00E273F1" w:rsidRDefault="00A17B2B">
            <w:pPr>
              <w:rPr>
                <w:rFonts w:cs="Arial"/>
                <w:color w:val="000000"/>
                <w:sz w:val="20"/>
              </w:rPr>
            </w:pPr>
            <w:r>
              <w:rPr>
                <w:rFonts w:cs="Arial"/>
                <w:color w:val="000000"/>
                <w:sz w:val="20"/>
              </w:rPr>
              <w:t>Financial System Projects are ongoing</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Income</w:t>
            </w:r>
          </w:p>
        </w:tc>
        <w:tc>
          <w:tcPr>
            <w:tcW w:w="1134" w:type="dxa"/>
            <w:tcBorders>
              <w:top w:val="nil"/>
              <w:left w:val="nil"/>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0</w:t>
            </w:r>
          </w:p>
        </w:tc>
        <w:tc>
          <w:tcPr>
            <w:tcW w:w="1134" w:type="dxa"/>
            <w:tcBorders>
              <w:top w:val="nil"/>
              <w:left w:val="nil"/>
              <w:bottom w:val="nil"/>
              <w:right w:val="single" w:sz="4" w:space="0" w:color="auto"/>
            </w:tcBorders>
            <w:noWrap/>
            <w:vAlign w:val="bottom"/>
            <w:hideMark/>
          </w:tcPr>
          <w:p w:rsidR="00E273F1" w:rsidRDefault="00E273F1" w:rsidP="00E273F1">
            <w:pPr>
              <w:jc w:val="right"/>
              <w:rPr>
                <w:rFonts w:cs="Arial"/>
                <w:color w:val="000000"/>
                <w:sz w:val="20"/>
              </w:rPr>
            </w:pPr>
            <w:r>
              <w:rPr>
                <w:rFonts w:cs="Arial"/>
                <w:color w:val="000000"/>
                <w:sz w:val="20"/>
              </w:rPr>
              <w:t>(37)</w:t>
            </w:r>
          </w:p>
        </w:tc>
        <w:tc>
          <w:tcPr>
            <w:tcW w:w="1271" w:type="dxa"/>
            <w:tcBorders>
              <w:top w:val="nil"/>
              <w:left w:val="single" w:sz="4" w:space="0" w:color="auto"/>
              <w:bottom w:val="nil"/>
              <w:right w:val="single" w:sz="4" w:space="0" w:color="auto"/>
            </w:tcBorders>
            <w:noWrap/>
            <w:vAlign w:val="bottom"/>
            <w:hideMark/>
          </w:tcPr>
          <w:p w:rsidR="00E273F1" w:rsidRDefault="00E273F1">
            <w:pPr>
              <w:jc w:val="right"/>
              <w:rPr>
                <w:rFonts w:cs="Arial"/>
                <w:color w:val="000000"/>
                <w:sz w:val="20"/>
              </w:rPr>
            </w:pPr>
            <w:r>
              <w:rPr>
                <w:rFonts w:cs="Arial"/>
                <w:color w:val="000000"/>
                <w:sz w:val="20"/>
              </w:rPr>
              <w:t>37</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On budget</w:t>
            </w:r>
          </w:p>
        </w:tc>
      </w:tr>
      <w:tr w:rsidR="00A17B2B" w:rsidTr="00A17B2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273F1" w:rsidRDefault="00E273F1">
            <w:pPr>
              <w:rPr>
                <w:rFonts w:cs="Arial"/>
                <w:b/>
                <w:bCs/>
                <w:color w:val="000000"/>
                <w:sz w:val="20"/>
              </w:rPr>
            </w:pPr>
            <w:r>
              <w:rPr>
                <w:rFonts w:cs="Arial"/>
                <w:b/>
                <w:bCs/>
                <w:color w:val="000000"/>
                <w:sz w:val="20"/>
              </w:rPr>
              <w:t>TOTAL</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rsidP="00C50D18">
            <w:pPr>
              <w:jc w:val="right"/>
              <w:rPr>
                <w:rFonts w:cs="Arial"/>
                <w:b/>
                <w:bCs/>
                <w:color w:val="000000"/>
                <w:sz w:val="20"/>
              </w:rPr>
            </w:pPr>
            <w:r>
              <w:rPr>
                <w:rFonts w:cs="Arial"/>
                <w:b/>
                <w:bCs/>
                <w:color w:val="000000"/>
                <w:sz w:val="20"/>
              </w:rPr>
              <w:t>1,655,000</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rsidP="00297B5B">
            <w:pPr>
              <w:jc w:val="right"/>
              <w:rPr>
                <w:rFonts w:cs="Arial"/>
                <w:b/>
                <w:bCs/>
                <w:color w:val="000000"/>
                <w:sz w:val="20"/>
              </w:rPr>
            </w:pPr>
            <w:r>
              <w:rPr>
                <w:rFonts w:cs="Arial"/>
                <w:b/>
                <w:bCs/>
                <w:color w:val="000000"/>
                <w:sz w:val="20"/>
              </w:rPr>
              <w:t>1,6</w:t>
            </w:r>
            <w:r w:rsidR="00297B5B">
              <w:rPr>
                <w:rFonts w:cs="Arial"/>
                <w:b/>
                <w:bCs/>
                <w:color w:val="000000"/>
                <w:sz w:val="20"/>
              </w:rPr>
              <w:t>03</w:t>
            </w:r>
            <w:r>
              <w:rPr>
                <w:rFonts w:cs="Arial"/>
                <w:b/>
                <w:bCs/>
                <w:color w:val="000000"/>
                <w:sz w:val="20"/>
              </w:rPr>
              <w:t>,</w:t>
            </w:r>
            <w:r w:rsidR="00297B5B">
              <w:rPr>
                <w:rFonts w:cs="Arial"/>
                <w:b/>
                <w:bCs/>
                <w:color w:val="000000"/>
                <w:sz w:val="20"/>
              </w:rPr>
              <w:t>598</w:t>
            </w:r>
          </w:p>
        </w:tc>
        <w:tc>
          <w:tcPr>
            <w:tcW w:w="12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273F1" w:rsidRDefault="00297B5B">
            <w:pPr>
              <w:jc w:val="right"/>
              <w:rPr>
                <w:rFonts w:cs="Arial"/>
                <w:b/>
                <w:bCs/>
                <w:color w:val="000000"/>
                <w:sz w:val="20"/>
              </w:rPr>
            </w:pPr>
            <w:r>
              <w:rPr>
                <w:rFonts w:cs="Arial"/>
                <w:b/>
                <w:bCs/>
                <w:color w:val="000000"/>
                <w:sz w:val="20"/>
              </w:rPr>
              <w:t>51,402</w:t>
            </w:r>
          </w:p>
        </w:tc>
        <w:tc>
          <w:tcPr>
            <w:tcW w:w="3230"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pPr>
              <w:rPr>
                <w:rFonts w:cs="Arial"/>
                <w:color w:val="000000"/>
                <w:sz w:val="20"/>
              </w:rPr>
            </w:pPr>
            <w:r>
              <w:rPr>
                <w:rFonts w:cs="Arial"/>
                <w:color w:val="000000"/>
                <w:sz w:val="20"/>
              </w:rPr>
              <w:t> </w:t>
            </w:r>
          </w:p>
        </w:tc>
      </w:tr>
      <w:tr w:rsidR="00A17B2B" w:rsidTr="00A17B2B">
        <w:trPr>
          <w:trHeight w:val="300"/>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b/>
                <w:bCs/>
                <w:color w:val="000000"/>
                <w:sz w:val="20"/>
              </w:rPr>
            </w:pPr>
            <w:r>
              <w:rPr>
                <w:rFonts w:cs="Arial"/>
                <w:b/>
                <w:bCs/>
                <w:color w:val="000000"/>
                <w:sz w:val="20"/>
              </w:rPr>
              <w:t>Funded By:</w:t>
            </w:r>
          </w:p>
        </w:tc>
        <w:tc>
          <w:tcPr>
            <w:tcW w:w="1134"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1134"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1271"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Chorley Borough Council</w:t>
            </w:r>
          </w:p>
        </w:tc>
        <w:tc>
          <w:tcPr>
            <w:tcW w:w="1134"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1134" w:type="dxa"/>
            <w:tcBorders>
              <w:top w:val="nil"/>
              <w:left w:val="nil"/>
              <w:bottom w:val="nil"/>
              <w:right w:val="single" w:sz="4" w:space="0" w:color="auto"/>
            </w:tcBorders>
            <w:noWrap/>
            <w:vAlign w:val="bottom"/>
            <w:hideMark/>
          </w:tcPr>
          <w:p w:rsidR="00E273F1" w:rsidRDefault="00E273F1" w:rsidP="00297B5B">
            <w:pPr>
              <w:jc w:val="right"/>
              <w:rPr>
                <w:rFonts w:cs="Arial"/>
                <w:color w:val="000000"/>
                <w:sz w:val="20"/>
              </w:rPr>
            </w:pPr>
            <w:r>
              <w:rPr>
                <w:rFonts w:cs="Arial"/>
                <w:color w:val="000000"/>
                <w:sz w:val="20"/>
              </w:rPr>
              <w:t>7</w:t>
            </w:r>
            <w:r w:rsidR="00297B5B">
              <w:rPr>
                <w:rFonts w:cs="Arial"/>
                <w:color w:val="000000"/>
                <w:sz w:val="20"/>
              </w:rPr>
              <w:t>84</w:t>
            </w:r>
            <w:r>
              <w:rPr>
                <w:rFonts w:cs="Arial"/>
                <w:color w:val="000000"/>
                <w:sz w:val="20"/>
              </w:rPr>
              <w:t>,</w:t>
            </w:r>
            <w:r w:rsidR="00297B5B">
              <w:rPr>
                <w:rFonts w:cs="Arial"/>
                <w:color w:val="000000"/>
                <w:sz w:val="20"/>
              </w:rPr>
              <w:t>212</w:t>
            </w:r>
          </w:p>
        </w:tc>
        <w:tc>
          <w:tcPr>
            <w:tcW w:w="1271"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r>
      <w:tr w:rsidR="00A17B2B" w:rsidTr="00A17B2B">
        <w:trPr>
          <w:trHeight w:val="285"/>
        </w:trPr>
        <w:tc>
          <w:tcPr>
            <w:tcW w:w="3085"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xml:space="preserve">South </w:t>
            </w:r>
            <w:proofErr w:type="spellStart"/>
            <w:r>
              <w:rPr>
                <w:rFonts w:cs="Arial"/>
                <w:color w:val="000000"/>
                <w:sz w:val="20"/>
              </w:rPr>
              <w:t>Ribble</w:t>
            </w:r>
            <w:proofErr w:type="spellEnd"/>
            <w:r>
              <w:rPr>
                <w:rFonts w:cs="Arial"/>
                <w:color w:val="000000"/>
                <w:sz w:val="20"/>
              </w:rPr>
              <w:t xml:space="preserve"> Borough Council</w:t>
            </w:r>
          </w:p>
        </w:tc>
        <w:tc>
          <w:tcPr>
            <w:tcW w:w="1134"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1134" w:type="dxa"/>
            <w:tcBorders>
              <w:top w:val="nil"/>
              <w:left w:val="nil"/>
              <w:bottom w:val="nil"/>
              <w:right w:val="single" w:sz="4" w:space="0" w:color="auto"/>
            </w:tcBorders>
            <w:noWrap/>
            <w:vAlign w:val="bottom"/>
            <w:hideMark/>
          </w:tcPr>
          <w:p w:rsidR="00E273F1" w:rsidRDefault="00297B5B" w:rsidP="00E273F1">
            <w:pPr>
              <w:jc w:val="right"/>
              <w:rPr>
                <w:rFonts w:cs="Arial"/>
                <w:color w:val="000000"/>
                <w:sz w:val="20"/>
              </w:rPr>
            </w:pPr>
            <w:r>
              <w:rPr>
                <w:rFonts w:cs="Arial"/>
                <w:color w:val="000000"/>
                <w:sz w:val="20"/>
              </w:rPr>
              <w:t>819,386</w:t>
            </w:r>
          </w:p>
        </w:tc>
        <w:tc>
          <w:tcPr>
            <w:tcW w:w="1271" w:type="dxa"/>
            <w:tcBorders>
              <w:top w:val="nil"/>
              <w:left w:val="single" w:sz="4" w:space="0" w:color="auto"/>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c>
          <w:tcPr>
            <w:tcW w:w="3230" w:type="dxa"/>
            <w:tcBorders>
              <w:top w:val="nil"/>
              <w:left w:val="nil"/>
              <w:bottom w:val="nil"/>
              <w:right w:val="single" w:sz="4" w:space="0" w:color="auto"/>
            </w:tcBorders>
            <w:noWrap/>
            <w:vAlign w:val="bottom"/>
            <w:hideMark/>
          </w:tcPr>
          <w:p w:rsidR="00E273F1" w:rsidRDefault="00E273F1">
            <w:pPr>
              <w:rPr>
                <w:rFonts w:cs="Arial"/>
                <w:color w:val="000000"/>
                <w:sz w:val="20"/>
              </w:rPr>
            </w:pPr>
            <w:r>
              <w:rPr>
                <w:rFonts w:cs="Arial"/>
                <w:color w:val="000000"/>
                <w:sz w:val="20"/>
              </w:rPr>
              <w:t> </w:t>
            </w:r>
          </w:p>
        </w:tc>
      </w:tr>
      <w:tr w:rsidR="00A17B2B" w:rsidTr="00A17B2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273F1" w:rsidRDefault="00E273F1">
            <w:pPr>
              <w:rPr>
                <w:rFonts w:cs="Arial"/>
                <w:b/>
                <w:bCs/>
                <w:color w:val="000000"/>
                <w:sz w:val="20"/>
              </w:rPr>
            </w:pPr>
            <w:r>
              <w:rPr>
                <w:rFonts w:cs="Arial"/>
                <w:b/>
                <w:bCs/>
                <w:color w:val="000000"/>
                <w:sz w:val="20"/>
              </w:rPr>
              <w:t>Total Funding</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pPr>
              <w:rPr>
                <w:rFonts w:cs="Arial"/>
                <w:b/>
                <w:bCs/>
                <w:color w:val="000000"/>
                <w:sz w:val="20"/>
              </w:rPr>
            </w:pPr>
            <w:r>
              <w:rPr>
                <w:rFonts w:cs="Arial"/>
                <w:b/>
                <w:bCs/>
                <w:color w:val="000000"/>
                <w:sz w:val="20"/>
              </w:rPr>
              <w:t> </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rsidP="00297B5B">
            <w:pPr>
              <w:jc w:val="right"/>
              <w:rPr>
                <w:rFonts w:cs="Arial"/>
                <w:b/>
                <w:bCs/>
                <w:color w:val="000000"/>
                <w:sz w:val="20"/>
              </w:rPr>
            </w:pPr>
            <w:r>
              <w:rPr>
                <w:rFonts w:cs="Arial"/>
                <w:b/>
                <w:bCs/>
                <w:color w:val="000000"/>
                <w:sz w:val="20"/>
              </w:rPr>
              <w:t>1,6</w:t>
            </w:r>
            <w:r w:rsidR="00297B5B">
              <w:rPr>
                <w:rFonts w:cs="Arial"/>
                <w:b/>
                <w:bCs/>
                <w:color w:val="000000"/>
                <w:sz w:val="20"/>
              </w:rPr>
              <w:t>03,598</w:t>
            </w:r>
          </w:p>
        </w:tc>
        <w:tc>
          <w:tcPr>
            <w:tcW w:w="12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273F1" w:rsidRDefault="00E273F1">
            <w:pPr>
              <w:rPr>
                <w:rFonts w:cs="Arial"/>
                <w:b/>
                <w:bCs/>
                <w:color w:val="000000"/>
                <w:sz w:val="20"/>
              </w:rPr>
            </w:pPr>
            <w:r>
              <w:rPr>
                <w:rFonts w:cs="Arial"/>
                <w:b/>
                <w:bCs/>
                <w:color w:val="000000"/>
                <w:sz w:val="20"/>
              </w:rPr>
              <w:t> </w:t>
            </w:r>
          </w:p>
        </w:tc>
        <w:tc>
          <w:tcPr>
            <w:tcW w:w="3230" w:type="dxa"/>
            <w:tcBorders>
              <w:top w:val="single" w:sz="4" w:space="0" w:color="auto"/>
              <w:left w:val="nil"/>
              <w:bottom w:val="single" w:sz="4" w:space="0" w:color="auto"/>
              <w:right w:val="single" w:sz="4" w:space="0" w:color="auto"/>
            </w:tcBorders>
            <w:shd w:val="clear" w:color="auto" w:fill="D9D9D9"/>
            <w:noWrap/>
            <w:vAlign w:val="bottom"/>
            <w:hideMark/>
          </w:tcPr>
          <w:p w:rsidR="00E273F1" w:rsidRDefault="00E273F1">
            <w:pPr>
              <w:rPr>
                <w:rFonts w:cs="Arial"/>
                <w:color w:val="000000"/>
                <w:sz w:val="20"/>
              </w:rPr>
            </w:pPr>
            <w:r>
              <w:rPr>
                <w:rFonts w:cs="Arial"/>
                <w:color w:val="000000"/>
                <w:sz w:val="20"/>
              </w:rPr>
              <w:t> </w:t>
            </w:r>
          </w:p>
        </w:tc>
      </w:tr>
    </w:tbl>
    <w:p w:rsidR="00C50D18" w:rsidRDefault="00C50D18" w:rsidP="002F5C5E">
      <w:pPr>
        <w:ind w:left="426"/>
        <w:rPr>
          <w:i/>
          <w:color w:val="0070C0"/>
          <w:szCs w:val="22"/>
        </w:rPr>
      </w:pPr>
    </w:p>
    <w:p w:rsidR="00E94202" w:rsidRPr="00E44069" w:rsidRDefault="00E94202" w:rsidP="00E94202">
      <w:pPr>
        <w:numPr>
          <w:ilvl w:val="0"/>
          <w:numId w:val="16"/>
        </w:numPr>
        <w:rPr>
          <w:szCs w:val="22"/>
        </w:rPr>
      </w:pPr>
      <w:r w:rsidRPr="00E44069">
        <w:rPr>
          <w:szCs w:val="22"/>
        </w:rPr>
        <w:t>Carry forward of t</w:t>
      </w:r>
      <w:r w:rsidR="00E44069">
        <w:rPr>
          <w:szCs w:val="22"/>
        </w:rPr>
        <w:t xml:space="preserve">he </w:t>
      </w:r>
      <w:r w:rsidRPr="00E44069">
        <w:rPr>
          <w:szCs w:val="22"/>
        </w:rPr>
        <w:t>under</w:t>
      </w:r>
      <w:r w:rsidR="00E44069">
        <w:rPr>
          <w:szCs w:val="22"/>
        </w:rPr>
        <w:t>-</w:t>
      </w:r>
      <w:r w:rsidRPr="00E44069">
        <w:rPr>
          <w:szCs w:val="22"/>
        </w:rPr>
        <w:t xml:space="preserve">spend has been agreed to fund </w:t>
      </w:r>
      <w:r w:rsidR="00E44069" w:rsidRPr="00E44069">
        <w:rPr>
          <w:szCs w:val="22"/>
        </w:rPr>
        <w:t>maternity cover within the Shared Assurance Team.</w:t>
      </w:r>
    </w:p>
    <w:p w:rsidR="00E44069" w:rsidRPr="00E44069" w:rsidRDefault="00E44069" w:rsidP="00E44069">
      <w:pPr>
        <w:ind w:left="360"/>
        <w:rPr>
          <w:szCs w:val="22"/>
        </w:rPr>
      </w:pPr>
    </w:p>
    <w:p w:rsidR="00E44069" w:rsidRPr="00E44069" w:rsidRDefault="00E44069" w:rsidP="00E94202">
      <w:pPr>
        <w:numPr>
          <w:ilvl w:val="0"/>
          <w:numId w:val="16"/>
        </w:numPr>
        <w:rPr>
          <w:szCs w:val="22"/>
        </w:rPr>
      </w:pPr>
      <w:r w:rsidRPr="00E44069">
        <w:rPr>
          <w:szCs w:val="22"/>
        </w:rPr>
        <w:t>Carry forward of the under-spend has been agreed for completion of key Business Improvement projects.</w:t>
      </w:r>
    </w:p>
    <w:p w:rsidR="00E94202" w:rsidRPr="00792A2B" w:rsidRDefault="00E94202" w:rsidP="00E44069">
      <w:pPr>
        <w:rPr>
          <w:i/>
          <w:color w:val="0070C0"/>
          <w:szCs w:val="22"/>
        </w:rPr>
      </w:pPr>
    </w:p>
    <w:p w:rsidR="00E44069" w:rsidRDefault="00A17B2B" w:rsidP="00E44069">
      <w:pPr>
        <w:numPr>
          <w:ilvl w:val="0"/>
          <w:numId w:val="16"/>
        </w:numPr>
        <w:rPr>
          <w:szCs w:val="22"/>
        </w:rPr>
      </w:pPr>
      <w:r w:rsidRPr="00A17B2B">
        <w:rPr>
          <w:szCs w:val="22"/>
        </w:rPr>
        <w:t>Budget and actuals include carry forward from 2016-17.</w:t>
      </w:r>
    </w:p>
    <w:p w:rsidR="00E44069" w:rsidRDefault="00E44069"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16289E" w:rsidRDefault="0016289E" w:rsidP="00E44069">
      <w:pPr>
        <w:pStyle w:val="ListParagraph"/>
      </w:pPr>
    </w:p>
    <w:p w:rsidR="00077620" w:rsidRDefault="00077620" w:rsidP="00E44069">
      <w:pPr>
        <w:pStyle w:val="ListParagraph"/>
      </w:pPr>
    </w:p>
    <w:p w:rsidR="002758C6" w:rsidRDefault="002758C6" w:rsidP="002758C6">
      <w:pPr>
        <w:ind w:left="426" w:hanging="426"/>
        <w:rPr>
          <w:b/>
          <w:szCs w:val="22"/>
        </w:rPr>
      </w:pPr>
      <w:r>
        <w:rPr>
          <w:b/>
          <w:szCs w:val="22"/>
        </w:rPr>
        <w:lastRenderedPageBreak/>
        <w:t>6.</w:t>
      </w:r>
      <w:r w:rsidR="0016289E">
        <w:rPr>
          <w:b/>
          <w:szCs w:val="22"/>
        </w:rPr>
        <w:t>2</w:t>
      </w:r>
      <w:r>
        <w:rPr>
          <w:b/>
          <w:szCs w:val="22"/>
        </w:rPr>
        <w:tab/>
      </w:r>
      <w:r w:rsidRPr="00A17B2B">
        <w:rPr>
          <w:b/>
          <w:szCs w:val="22"/>
        </w:rPr>
        <w:t>Accounting Statements for 2017-18</w:t>
      </w:r>
      <w:r>
        <w:rPr>
          <w:szCs w:val="22"/>
        </w:rPr>
        <w:t xml:space="preserve"> </w:t>
      </w:r>
      <w:r w:rsidRPr="00E44069">
        <w:rPr>
          <w:b/>
          <w:szCs w:val="22"/>
        </w:rPr>
        <w:t xml:space="preserve">- Outturn </w:t>
      </w:r>
      <w:r>
        <w:rPr>
          <w:b/>
          <w:szCs w:val="22"/>
        </w:rPr>
        <w:t xml:space="preserve">Allocation </w:t>
      </w:r>
      <w:r w:rsidRPr="00E44069">
        <w:rPr>
          <w:b/>
          <w:szCs w:val="22"/>
        </w:rPr>
        <w:t>Statement</w:t>
      </w:r>
    </w:p>
    <w:p w:rsidR="002758C6" w:rsidRDefault="002758C6" w:rsidP="002758C6">
      <w:pPr>
        <w:ind w:left="426" w:hanging="426"/>
        <w:rPr>
          <w:b/>
          <w:szCs w:val="22"/>
        </w:rPr>
      </w:pPr>
    </w:p>
    <w:tbl>
      <w:tblPr>
        <w:tblW w:w="8739" w:type="dxa"/>
        <w:tblInd w:w="108" w:type="dxa"/>
        <w:tblLook w:val="04A0" w:firstRow="1" w:lastRow="0" w:firstColumn="1" w:lastColumn="0" w:noHBand="0" w:noVBand="1"/>
      </w:tblPr>
      <w:tblGrid>
        <w:gridCol w:w="1427"/>
        <w:gridCol w:w="1195"/>
        <w:gridCol w:w="1064"/>
        <w:gridCol w:w="1012"/>
        <w:gridCol w:w="4061"/>
      </w:tblGrid>
      <w:tr w:rsidR="002758C6" w:rsidRPr="002758C6" w:rsidTr="0016289E">
        <w:trPr>
          <w:trHeight w:val="900"/>
        </w:trPr>
        <w:tc>
          <w:tcPr>
            <w:tcW w:w="14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8C6" w:rsidRPr="002758C6" w:rsidRDefault="002758C6" w:rsidP="002758C6">
            <w:pPr>
              <w:rPr>
                <w:rFonts w:cs="Arial"/>
                <w:b/>
                <w:bCs/>
                <w:color w:val="000000"/>
                <w:szCs w:val="22"/>
              </w:rPr>
            </w:pPr>
            <w:r w:rsidRPr="002758C6">
              <w:rPr>
                <w:rFonts w:cs="Arial"/>
                <w:b/>
                <w:bCs/>
                <w:color w:val="000000"/>
                <w:szCs w:val="22"/>
              </w:rPr>
              <w:t>Description</w:t>
            </w:r>
          </w:p>
        </w:tc>
        <w:tc>
          <w:tcPr>
            <w:tcW w:w="1195" w:type="dxa"/>
            <w:tcBorders>
              <w:top w:val="single" w:sz="4" w:space="0" w:color="auto"/>
              <w:left w:val="nil"/>
              <w:bottom w:val="single" w:sz="4" w:space="0" w:color="auto"/>
              <w:right w:val="single" w:sz="4" w:space="0" w:color="auto"/>
            </w:tcBorders>
            <w:shd w:val="clear" w:color="000000" w:fill="D9D9D9"/>
            <w:vAlign w:val="bottom"/>
            <w:hideMark/>
          </w:tcPr>
          <w:p w:rsidR="002758C6" w:rsidRPr="002758C6" w:rsidRDefault="002758C6" w:rsidP="002758C6">
            <w:pPr>
              <w:jc w:val="center"/>
              <w:rPr>
                <w:rFonts w:cs="Arial"/>
                <w:b/>
                <w:bCs/>
                <w:color w:val="000000"/>
                <w:szCs w:val="22"/>
              </w:rPr>
            </w:pPr>
            <w:r w:rsidRPr="002758C6">
              <w:rPr>
                <w:rFonts w:cs="Arial"/>
                <w:b/>
                <w:bCs/>
                <w:color w:val="000000"/>
                <w:szCs w:val="22"/>
              </w:rPr>
              <w:t>TOTAL OUT-TURN £</w:t>
            </w:r>
          </w:p>
        </w:tc>
        <w:tc>
          <w:tcPr>
            <w:tcW w:w="1064" w:type="dxa"/>
            <w:tcBorders>
              <w:top w:val="single" w:sz="4" w:space="0" w:color="auto"/>
              <w:left w:val="nil"/>
              <w:bottom w:val="single" w:sz="4" w:space="0" w:color="auto"/>
              <w:right w:val="single" w:sz="4" w:space="0" w:color="auto"/>
            </w:tcBorders>
            <w:shd w:val="clear" w:color="000000" w:fill="D9D9D9"/>
            <w:vAlign w:val="bottom"/>
            <w:hideMark/>
          </w:tcPr>
          <w:p w:rsidR="002758C6" w:rsidRPr="002758C6" w:rsidRDefault="004F46BF" w:rsidP="002758C6">
            <w:pPr>
              <w:jc w:val="center"/>
              <w:rPr>
                <w:rFonts w:cs="Arial"/>
                <w:b/>
                <w:bCs/>
                <w:color w:val="000000"/>
                <w:szCs w:val="22"/>
              </w:rPr>
            </w:pPr>
            <w:r>
              <w:rPr>
                <w:rFonts w:cs="Arial"/>
                <w:b/>
                <w:bCs/>
                <w:color w:val="000000"/>
                <w:szCs w:val="22"/>
              </w:rPr>
              <w:t>C</w:t>
            </w:r>
            <w:r w:rsidR="002758C6" w:rsidRPr="002758C6">
              <w:rPr>
                <w:rFonts w:cs="Arial"/>
                <w:b/>
                <w:bCs/>
                <w:color w:val="000000"/>
                <w:szCs w:val="22"/>
              </w:rPr>
              <w:t>BC OUT-TURN £</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2758C6" w:rsidRPr="002758C6" w:rsidRDefault="004F46BF" w:rsidP="002758C6">
            <w:pPr>
              <w:jc w:val="center"/>
              <w:rPr>
                <w:rFonts w:cs="Arial"/>
                <w:b/>
                <w:bCs/>
                <w:color w:val="000000"/>
                <w:szCs w:val="22"/>
              </w:rPr>
            </w:pPr>
            <w:r>
              <w:rPr>
                <w:rFonts w:cs="Arial"/>
                <w:b/>
                <w:bCs/>
                <w:color w:val="000000"/>
                <w:szCs w:val="22"/>
              </w:rPr>
              <w:t>SR</w:t>
            </w:r>
            <w:r w:rsidR="002758C6" w:rsidRPr="002758C6">
              <w:rPr>
                <w:rFonts w:cs="Arial"/>
                <w:b/>
                <w:bCs/>
                <w:color w:val="000000"/>
                <w:szCs w:val="22"/>
              </w:rPr>
              <w:t>BC OUT-TURN £</w:t>
            </w:r>
          </w:p>
        </w:tc>
        <w:tc>
          <w:tcPr>
            <w:tcW w:w="4061" w:type="dxa"/>
            <w:tcBorders>
              <w:top w:val="single" w:sz="4" w:space="0" w:color="auto"/>
              <w:left w:val="nil"/>
              <w:bottom w:val="single" w:sz="4" w:space="0" w:color="auto"/>
              <w:right w:val="single" w:sz="4" w:space="0" w:color="auto"/>
            </w:tcBorders>
            <w:shd w:val="clear" w:color="000000" w:fill="D9D9D9"/>
            <w:vAlign w:val="bottom"/>
            <w:hideMark/>
          </w:tcPr>
          <w:p w:rsidR="002758C6" w:rsidRPr="002758C6" w:rsidRDefault="002758C6" w:rsidP="002758C6">
            <w:pPr>
              <w:rPr>
                <w:rFonts w:cs="Arial"/>
                <w:b/>
                <w:bCs/>
                <w:color w:val="000000"/>
                <w:szCs w:val="22"/>
              </w:rPr>
            </w:pPr>
            <w:r w:rsidRPr="002758C6">
              <w:rPr>
                <w:rFonts w:cs="Arial"/>
                <w:b/>
                <w:bCs/>
                <w:color w:val="000000"/>
                <w:szCs w:val="22"/>
              </w:rPr>
              <w:t>Explanation</w:t>
            </w:r>
          </w:p>
        </w:tc>
      </w:tr>
      <w:tr w:rsidR="002758C6" w:rsidRPr="002758C6" w:rsidTr="0016289E">
        <w:trPr>
          <w:trHeight w:val="171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Employee Costs</w:t>
            </w:r>
          </w:p>
        </w:tc>
        <w:tc>
          <w:tcPr>
            <w:tcW w:w="1195"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1,440,827</w:t>
            </w:r>
          </w:p>
        </w:tc>
        <w:tc>
          <w:tcPr>
            <w:tcW w:w="1064"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651,819</w:t>
            </w:r>
          </w:p>
        </w:tc>
        <w:tc>
          <w:tcPr>
            <w:tcW w:w="992"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789,008</w:t>
            </w:r>
          </w:p>
        </w:tc>
        <w:tc>
          <w:tcPr>
            <w:tcW w:w="4061" w:type="dxa"/>
            <w:tcBorders>
              <w:top w:val="nil"/>
              <w:left w:val="nil"/>
              <w:bottom w:val="single" w:sz="4" w:space="0" w:color="auto"/>
              <w:right w:val="single" w:sz="4" w:space="0" w:color="auto"/>
            </w:tcBorders>
            <w:shd w:val="clear" w:color="auto" w:fill="auto"/>
            <w:vAlign w:val="bottom"/>
            <w:hideMark/>
          </w:tcPr>
          <w:p w:rsidR="002758C6" w:rsidRDefault="002758C6" w:rsidP="0016289E">
            <w:pPr>
              <w:numPr>
                <w:ilvl w:val="0"/>
                <w:numId w:val="17"/>
              </w:numPr>
              <w:rPr>
                <w:rFonts w:cs="Arial"/>
                <w:color w:val="000000"/>
                <w:sz w:val="20"/>
              </w:rPr>
            </w:pPr>
            <w:r w:rsidRPr="002758C6">
              <w:rPr>
                <w:rFonts w:cs="Arial"/>
                <w:color w:val="000000"/>
                <w:sz w:val="20"/>
              </w:rPr>
              <w:t>The structure of the Management Accountancy Teams vary at each council.</w:t>
            </w:r>
          </w:p>
          <w:p w:rsidR="0016289E" w:rsidRDefault="0016289E" w:rsidP="0016289E">
            <w:pPr>
              <w:numPr>
                <w:ilvl w:val="0"/>
                <w:numId w:val="17"/>
              </w:numPr>
              <w:rPr>
                <w:rFonts w:cs="Arial"/>
                <w:color w:val="000000"/>
                <w:sz w:val="20"/>
              </w:rPr>
            </w:pPr>
            <w:r w:rsidRPr="0016289E">
              <w:rPr>
                <w:rFonts w:cs="Arial"/>
                <w:color w:val="000000"/>
                <w:sz w:val="20"/>
              </w:rPr>
              <w:t>Different pension Contribution and Deficit Recovery Rates</w:t>
            </w:r>
          </w:p>
          <w:p w:rsidR="0016289E" w:rsidRPr="002758C6" w:rsidRDefault="0016289E" w:rsidP="0016289E">
            <w:pPr>
              <w:numPr>
                <w:ilvl w:val="0"/>
                <w:numId w:val="17"/>
              </w:numPr>
              <w:rPr>
                <w:rFonts w:cs="Arial"/>
                <w:color w:val="000000"/>
                <w:sz w:val="20"/>
              </w:rPr>
            </w:pPr>
            <w:r w:rsidRPr="0016289E">
              <w:rPr>
                <w:rFonts w:cs="Arial"/>
                <w:color w:val="000000"/>
                <w:sz w:val="20"/>
              </w:rPr>
              <w:t>Secondment of Head of Shared Financial Services to Section 151 post at SRBC and subsequent staff changes to cover.</w:t>
            </w:r>
          </w:p>
        </w:tc>
      </w:tr>
      <w:tr w:rsidR="002758C6" w:rsidRPr="002758C6" w:rsidTr="0016289E">
        <w:trPr>
          <w:trHeight w:val="28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Transport</w:t>
            </w:r>
          </w:p>
        </w:tc>
        <w:tc>
          <w:tcPr>
            <w:tcW w:w="1195"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10,329</w:t>
            </w:r>
          </w:p>
        </w:tc>
        <w:tc>
          <w:tcPr>
            <w:tcW w:w="1064"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5,002</w:t>
            </w:r>
          </w:p>
        </w:tc>
        <w:tc>
          <w:tcPr>
            <w:tcW w:w="992"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5,327</w:t>
            </w:r>
          </w:p>
        </w:tc>
        <w:tc>
          <w:tcPr>
            <w:tcW w:w="4061" w:type="dxa"/>
            <w:tcBorders>
              <w:top w:val="nil"/>
              <w:left w:val="nil"/>
              <w:bottom w:val="single" w:sz="4" w:space="0" w:color="auto"/>
              <w:right w:val="single" w:sz="4" w:space="0" w:color="auto"/>
            </w:tcBorders>
            <w:shd w:val="clear" w:color="auto" w:fill="auto"/>
            <w:vAlign w:val="bottom"/>
            <w:hideMark/>
          </w:tcPr>
          <w:p w:rsidR="002758C6" w:rsidRPr="002758C6" w:rsidRDefault="002758C6" w:rsidP="002758C6">
            <w:pPr>
              <w:rPr>
                <w:rFonts w:cs="Arial"/>
                <w:color w:val="000000"/>
                <w:sz w:val="20"/>
              </w:rPr>
            </w:pPr>
            <w:r w:rsidRPr="002758C6">
              <w:rPr>
                <w:rFonts w:cs="Arial"/>
                <w:color w:val="000000"/>
                <w:sz w:val="20"/>
              </w:rPr>
              <w:t> </w:t>
            </w:r>
          </w:p>
        </w:tc>
      </w:tr>
      <w:tr w:rsidR="002758C6" w:rsidRPr="002758C6" w:rsidTr="00297B5B">
        <w:trPr>
          <w:trHeight w:val="142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Supplies &amp; Services</w:t>
            </w:r>
          </w:p>
        </w:tc>
        <w:tc>
          <w:tcPr>
            <w:tcW w:w="1195" w:type="dxa"/>
            <w:tcBorders>
              <w:top w:val="nil"/>
              <w:left w:val="nil"/>
              <w:bottom w:val="single" w:sz="4" w:space="0" w:color="auto"/>
              <w:right w:val="single" w:sz="4" w:space="0" w:color="auto"/>
            </w:tcBorders>
            <w:shd w:val="clear" w:color="auto" w:fill="auto"/>
            <w:vAlign w:val="center"/>
          </w:tcPr>
          <w:p w:rsidR="002758C6" w:rsidRPr="002758C6" w:rsidRDefault="00297B5B" w:rsidP="002758C6">
            <w:pPr>
              <w:jc w:val="right"/>
              <w:rPr>
                <w:rFonts w:cs="Arial"/>
                <w:color w:val="000000"/>
                <w:sz w:val="20"/>
              </w:rPr>
            </w:pPr>
            <w:r>
              <w:rPr>
                <w:rFonts w:cs="Arial"/>
                <w:color w:val="000000"/>
                <w:sz w:val="20"/>
              </w:rPr>
              <w:t>53,238</w:t>
            </w:r>
          </w:p>
        </w:tc>
        <w:tc>
          <w:tcPr>
            <w:tcW w:w="1064" w:type="dxa"/>
            <w:tcBorders>
              <w:top w:val="nil"/>
              <w:left w:val="nil"/>
              <w:bottom w:val="single" w:sz="4" w:space="0" w:color="auto"/>
              <w:right w:val="single" w:sz="4" w:space="0" w:color="auto"/>
            </w:tcBorders>
            <w:shd w:val="clear" w:color="auto" w:fill="auto"/>
            <w:vAlign w:val="center"/>
          </w:tcPr>
          <w:p w:rsidR="002758C6" w:rsidRPr="002758C6" w:rsidRDefault="00297B5B" w:rsidP="002758C6">
            <w:pPr>
              <w:jc w:val="right"/>
              <w:rPr>
                <w:rFonts w:cs="Arial"/>
                <w:color w:val="000000"/>
                <w:sz w:val="20"/>
              </w:rPr>
            </w:pPr>
            <w:r>
              <w:rPr>
                <w:rFonts w:cs="Arial"/>
                <w:color w:val="000000"/>
                <w:sz w:val="20"/>
              </w:rPr>
              <w:t>29,463</w:t>
            </w:r>
          </w:p>
        </w:tc>
        <w:tc>
          <w:tcPr>
            <w:tcW w:w="992" w:type="dxa"/>
            <w:tcBorders>
              <w:top w:val="nil"/>
              <w:left w:val="nil"/>
              <w:bottom w:val="single" w:sz="4" w:space="0" w:color="auto"/>
              <w:right w:val="single" w:sz="4" w:space="0" w:color="auto"/>
            </w:tcBorders>
            <w:shd w:val="clear" w:color="auto" w:fill="auto"/>
            <w:vAlign w:val="center"/>
          </w:tcPr>
          <w:p w:rsidR="002758C6" w:rsidRPr="002758C6" w:rsidRDefault="00297B5B" w:rsidP="002758C6">
            <w:pPr>
              <w:jc w:val="right"/>
              <w:rPr>
                <w:rFonts w:cs="Arial"/>
                <w:color w:val="000000"/>
                <w:sz w:val="20"/>
              </w:rPr>
            </w:pPr>
            <w:r>
              <w:rPr>
                <w:rFonts w:cs="Arial"/>
                <w:color w:val="000000"/>
                <w:sz w:val="20"/>
              </w:rPr>
              <w:t>23,776</w:t>
            </w:r>
          </w:p>
        </w:tc>
        <w:tc>
          <w:tcPr>
            <w:tcW w:w="4061" w:type="dxa"/>
            <w:tcBorders>
              <w:top w:val="nil"/>
              <w:left w:val="nil"/>
              <w:bottom w:val="single" w:sz="4" w:space="0" w:color="auto"/>
              <w:right w:val="single" w:sz="4" w:space="0" w:color="auto"/>
            </w:tcBorders>
            <w:shd w:val="clear" w:color="auto" w:fill="auto"/>
            <w:vAlign w:val="bottom"/>
            <w:hideMark/>
          </w:tcPr>
          <w:p w:rsidR="002758C6" w:rsidRDefault="002758C6" w:rsidP="0016289E">
            <w:pPr>
              <w:numPr>
                <w:ilvl w:val="0"/>
                <w:numId w:val="18"/>
              </w:numPr>
              <w:rPr>
                <w:rFonts w:cs="Arial"/>
                <w:color w:val="000000"/>
                <w:sz w:val="20"/>
              </w:rPr>
            </w:pPr>
            <w:r w:rsidRPr="002758C6">
              <w:rPr>
                <w:rFonts w:cs="Arial"/>
                <w:color w:val="000000"/>
                <w:sz w:val="20"/>
              </w:rPr>
              <w:t>There are some differences in processes, e.g. company checks.</w:t>
            </w:r>
          </w:p>
          <w:p w:rsidR="0016289E" w:rsidRPr="002758C6" w:rsidRDefault="0016289E" w:rsidP="0016289E">
            <w:pPr>
              <w:numPr>
                <w:ilvl w:val="0"/>
                <w:numId w:val="18"/>
              </w:numPr>
              <w:rPr>
                <w:rFonts w:cs="Arial"/>
                <w:color w:val="000000"/>
                <w:sz w:val="20"/>
              </w:rPr>
            </w:pPr>
            <w:r>
              <w:rPr>
                <w:rFonts w:cs="Arial"/>
                <w:color w:val="000000"/>
                <w:sz w:val="20"/>
              </w:rPr>
              <w:t>Cost of professional advice specific to each council, e.g. legal fees, consultancy fees.</w:t>
            </w:r>
          </w:p>
        </w:tc>
      </w:tr>
      <w:tr w:rsidR="002758C6" w:rsidRPr="002758C6" w:rsidTr="0016289E">
        <w:trPr>
          <w:trHeight w:val="28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LCC Audit Budget</w:t>
            </w:r>
          </w:p>
        </w:tc>
        <w:tc>
          <w:tcPr>
            <w:tcW w:w="1195"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4,355</w:t>
            </w:r>
          </w:p>
        </w:tc>
        <w:tc>
          <w:tcPr>
            <w:tcW w:w="1064"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2,178</w:t>
            </w:r>
          </w:p>
        </w:tc>
        <w:tc>
          <w:tcPr>
            <w:tcW w:w="992"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2,178</w:t>
            </w:r>
          </w:p>
        </w:tc>
        <w:tc>
          <w:tcPr>
            <w:tcW w:w="4061" w:type="dxa"/>
            <w:tcBorders>
              <w:top w:val="nil"/>
              <w:left w:val="nil"/>
              <w:bottom w:val="single" w:sz="4" w:space="0" w:color="auto"/>
              <w:right w:val="single" w:sz="4" w:space="0" w:color="auto"/>
            </w:tcBorders>
            <w:shd w:val="clear" w:color="auto" w:fill="auto"/>
            <w:vAlign w:val="bottom"/>
            <w:hideMark/>
          </w:tcPr>
          <w:p w:rsidR="002758C6" w:rsidRPr="002758C6" w:rsidRDefault="002758C6" w:rsidP="002758C6">
            <w:pPr>
              <w:rPr>
                <w:rFonts w:cs="Arial"/>
                <w:color w:val="000000"/>
                <w:sz w:val="20"/>
              </w:rPr>
            </w:pPr>
            <w:r w:rsidRPr="002758C6">
              <w:rPr>
                <w:rFonts w:cs="Arial"/>
                <w:color w:val="000000"/>
                <w:sz w:val="20"/>
              </w:rPr>
              <w:t> </w:t>
            </w:r>
          </w:p>
        </w:tc>
      </w:tr>
      <w:tr w:rsidR="002758C6" w:rsidRPr="002758C6" w:rsidTr="0016289E">
        <w:trPr>
          <w:trHeight w:val="142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Financial Management Information System</w:t>
            </w:r>
          </w:p>
        </w:tc>
        <w:tc>
          <w:tcPr>
            <w:tcW w:w="1195"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94,886</w:t>
            </w:r>
          </w:p>
        </w:tc>
        <w:tc>
          <w:tcPr>
            <w:tcW w:w="1064"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53,726</w:t>
            </w:r>
          </w:p>
        </w:tc>
        <w:tc>
          <w:tcPr>
            <w:tcW w:w="992"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41,159</w:t>
            </w:r>
          </w:p>
        </w:tc>
        <w:tc>
          <w:tcPr>
            <w:tcW w:w="4061" w:type="dxa"/>
            <w:tcBorders>
              <w:top w:val="nil"/>
              <w:left w:val="nil"/>
              <w:bottom w:val="single" w:sz="4" w:space="0" w:color="auto"/>
              <w:right w:val="single" w:sz="4" w:space="0" w:color="auto"/>
            </w:tcBorders>
            <w:shd w:val="clear" w:color="auto" w:fill="auto"/>
            <w:vAlign w:val="bottom"/>
            <w:hideMark/>
          </w:tcPr>
          <w:p w:rsidR="002758C6" w:rsidRDefault="002758C6" w:rsidP="0016289E">
            <w:pPr>
              <w:numPr>
                <w:ilvl w:val="0"/>
                <w:numId w:val="19"/>
              </w:numPr>
              <w:rPr>
                <w:rFonts w:cs="Arial"/>
                <w:color w:val="000000"/>
                <w:sz w:val="20"/>
              </w:rPr>
            </w:pPr>
            <w:r w:rsidRPr="002758C6">
              <w:rPr>
                <w:rFonts w:cs="Arial"/>
                <w:color w:val="000000"/>
                <w:sz w:val="20"/>
              </w:rPr>
              <w:t>An adjustment is also made t</w:t>
            </w:r>
            <w:r w:rsidR="004F46BF">
              <w:rPr>
                <w:rFonts w:cs="Arial"/>
                <w:color w:val="000000"/>
                <w:sz w:val="20"/>
              </w:rPr>
              <w:t xml:space="preserve">o take account of historic </w:t>
            </w:r>
            <w:r w:rsidRPr="002758C6">
              <w:rPr>
                <w:rFonts w:cs="Arial"/>
                <w:color w:val="000000"/>
                <w:sz w:val="20"/>
              </w:rPr>
              <w:t>price agreements that have been rolled forward.</w:t>
            </w:r>
          </w:p>
          <w:p w:rsidR="0016289E" w:rsidRPr="002758C6" w:rsidRDefault="004F46BF" w:rsidP="0016289E">
            <w:pPr>
              <w:numPr>
                <w:ilvl w:val="0"/>
                <w:numId w:val="19"/>
              </w:numPr>
              <w:rPr>
                <w:rFonts w:cs="Arial"/>
                <w:color w:val="000000"/>
                <w:sz w:val="20"/>
              </w:rPr>
            </w:pPr>
            <w:r>
              <w:rPr>
                <w:rFonts w:cs="Arial"/>
                <w:color w:val="000000"/>
                <w:sz w:val="20"/>
              </w:rPr>
              <w:t>PCI-DSS upgrade implemented at CBC only.</w:t>
            </w:r>
          </w:p>
        </w:tc>
      </w:tr>
      <w:tr w:rsidR="002758C6" w:rsidRPr="002758C6" w:rsidTr="0016289E">
        <w:trPr>
          <w:trHeight w:val="28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2758C6" w:rsidRPr="002758C6" w:rsidRDefault="002758C6" w:rsidP="002758C6">
            <w:pPr>
              <w:rPr>
                <w:rFonts w:cs="Arial"/>
                <w:color w:val="000000"/>
                <w:sz w:val="20"/>
              </w:rPr>
            </w:pPr>
            <w:r w:rsidRPr="002758C6">
              <w:rPr>
                <w:rFonts w:cs="Arial"/>
                <w:color w:val="000000"/>
                <w:sz w:val="20"/>
              </w:rPr>
              <w:t>Income</w:t>
            </w:r>
          </w:p>
        </w:tc>
        <w:tc>
          <w:tcPr>
            <w:tcW w:w="1195"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(37)</w:t>
            </w:r>
          </w:p>
        </w:tc>
        <w:tc>
          <w:tcPr>
            <w:tcW w:w="1064"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(19)</w:t>
            </w:r>
          </w:p>
        </w:tc>
        <w:tc>
          <w:tcPr>
            <w:tcW w:w="992" w:type="dxa"/>
            <w:tcBorders>
              <w:top w:val="nil"/>
              <w:left w:val="nil"/>
              <w:bottom w:val="single" w:sz="4" w:space="0" w:color="auto"/>
              <w:right w:val="single" w:sz="4" w:space="0" w:color="auto"/>
            </w:tcBorders>
            <w:shd w:val="clear" w:color="auto" w:fill="auto"/>
            <w:vAlign w:val="center"/>
            <w:hideMark/>
          </w:tcPr>
          <w:p w:rsidR="002758C6" w:rsidRPr="002758C6" w:rsidRDefault="002758C6" w:rsidP="002758C6">
            <w:pPr>
              <w:jc w:val="right"/>
              <w:rPr>
                <w:rFonts w:cs="Arial"/>
                <w:color w:val="000000"/>
                <w:sz w:val="20"/>
              </w:rPr>
            </w:pPr>
            <w:r w:rsidRPr="002758C6">
              <w:rPr>
                <w:rFonts w:cs="Arial"/>
                <w:color w:val="000000"/>
                <w:sz w:val="20"/>
              </w:rPr>
              <w:t>(19)</w:t>
            </w:r>
          </w:p>
        </w:tc>
        <w:tc>
          <w:tcPr>
            <w:tcW w:w="4061" w:type="dxa"/>
            <w:tcBorders>
              <w:top w:val="nil"/>
              <w:left w:val="nil"/>
              <w:bottom w:val="single" w:sz="4" w:space="0" w:color="auto"/>
              <w:right w:val="single" w:sz="4" w:space="0" w:color="auto"/>
            </w:tcBorders>
            <w:shd w:val="clear" w:color="auto" w:fill="auto"/>
            <w:vAlign w:val="bottom"/>
            <w:hideMark/>
          </w:tcPr>
          <w:p w:rsidR="002758C6" w:rsidRPr="002758C6" w:rsidRDefault="002758C6" w:rsidP="002758C6">
            <w:pPr>
              <w:rPr>
                <w:rFonts w:cs="Arial"/>
                <w:color w:val="000000"/>
                <w:sz w:val="20"/>
              </w:rPr>
            </w:pPr>
            <w:r w:rsidRPr="002758C6">
              <w:rPr>
                <w:rFonts w:cs="Arial"/>
                <w:color w:val="000000"/>
                <w:sz w:val="20"/>
              </w:rPr>
              <w:t> </w:t>
            </w:r>
          </w:p>
        </w:tc>
      </w:tr>
      <w:tr w:rsidR="002758C6" w:rsidRPr="002758C6" w:rsidTr="0016289E">
        <w:trPr>
          <w:trHeight w:val="300"/>
        </w:trPr>
        <w:tc>
          <w:tcPr>
            <w:tcW w:w="1427" w:type="dxa"/>
            <w:tcBorders>
              <w:top w:val="nil"/>
              <w:left w:val="single" w:sz="4" w:space="0" w:color="auto"/>
              <w:bottom w:val="single" w:sz="4" w:space="0" w:color="auto"/>
              <w:right w:val="single" w:sz="4" w:space="0" w:color="auto"/>
            </w:tcBorders>
            <w:shd w:val="clear" w:color="000000" w:fill="D9D9D9"/>
            <w:noWrap/>
            <w:vAlign w:val="bottom"/>
            <w:hideMark/>
          </w:tcPr>
          <w:p w:rsidR="002758C6" w:rsidRPr="002758C6" w:rsidRDefault="002758C6" w:rsidP="002758C6">
            <w:pPr>
              <w:rPr>
                <w:rFonts w:cs="Arial"/>
                <w:b/>
                <w:bCs/>
                <w:color w:val="000000"/>
                <w:szCs w:val="22"/>
              </w:rPr>
            </w:pPr>
            <w:r w:rsidRPr="002758C6">
              <w:rPr>
                <w:rFonts w:cs="Arial"/>
                <w:b/>
                <w:bCs/>
                <w:color w:val="000000"/>
                <w:szCs w:val="22"/>
              </w:rPr>
              <w:t>TOTAL</w:t>
            </w:r>
          </w:p>
        </w:tc>
        <w:tc>
          <w:tcPr>
            <w:tcW w:w="1195" w:type="dxa"/>
            <w:tcBorders>
              <w:top w:val="nil"/>
              <w:left w:val="nil"/>
              <w:bottom w:val="single" w:sz="4" w:space="0" w:color="auto"/>
              <w:right w:val="single" w:sz="4" w:space="0" w:color="auto"/>
            </w:tcBorders>
            <w:shd w:val="clear" w:color="000000" w:fill="D9D9D9"/>
            <w:noWrap/>
            <w:vAlign w:val="bottom"/>
            <w:hideMark/>
          </w:tcPr>
          <w:p w:rsidR="002758C6" w:rsidRPr="002758C6" w:rsidRDefault="002758C6" w:rsidP="00297B5B">
            <w:pPr>
              <w:jc w:val="right"/>
              <w:rPr>
                <w:rFonts w:cs="Arial"/>
                <w:b/>
                <w:bCs/>
                <w:color w:val="000000"/>
                <w:szCs w:val="22"/>
              </w:rPr>
            </w:pPr>
            <w:r w:rsidRPr="002758C6">
              <w:rPr>
                <w:rFonts w:cs="Arial"/>
                <w:b/>
                <w:bCs/>
                <w:color w:val="000000"/>
                <w:szCs w:val="22"/>
              </w:rPr>
              <w:t>1,6</w:t>
            </w:r>
            <w:r w:rsidR="00297B5B">
              <w:rPr>
                <w:rFonts w:cs="Arial"/>
                <w:b/>
                <w:bCs/>
                <w:color w:val="000000"/>
                <w:szCs w:val="22"/>
              </w:rPr>
              <w:t>03</w:t>
            </w:r>
            <w:r w:rsidRPr="002758C6">
              <w:rPr>
                <w:rFonts w:cs="Arial"/>
                <w:b/>
                <w:bCs/>
                <w:color w:val="000000"/>
                <w:szCs w:val="22"/>
              </w:rPr>
              <w:t>,</w:t>
            </w:r>
            <w:r w:rsidR="00297B5B">
              <w:rPr>
                <w:rFonts w:cs="Arial"/>
                <w:b/>
                <w:bCs/>
                <w:color w:val="000000"/>
                <w:szCs w:val="22"/>
              </w:rPr>
              <w:t>598</w:t>
            </w:r>
          </w:p>
        </w:tc>
        <w:tc>
          <w:tcPr>
            <w:tcW w:w="1064" w:type="dxa"/>
            <w:tcBorders>
              <w:top w:val="nil"/>
              <w:left w:val="nil"/>
              <w:bottom w:val="single" w:sz="4" w:space="0" w:color="auto"/>
              <w:right w:val="single" w:sz="4" w:space="0" w:color="auto"/>
            </w:tcBorders>
            <w:shd w:val="clear" w:color="000000" w:fill="D9D9D9"/>
            <w:noWrap/>
            <w:vAlign w:val="bottom"/>
            <w:hideMark/>
          </w:tcPr>
          <w:p w:rsidR="002758C6" w:rsidRPr="002758C6" w:rsidRDefault="002758C6" w:rsidP="00297B5B">
            <w:pPr>
              <w:jc w:val="right"/>
              <w:rPr>
                <w:rFonts w:cs="Arial"/>
                <w:b/>
                <w:bCs/>
                <w:color w:val="000000"/>
                <w:szCs w:val="22"/>
              </w:rPr>
            </w:pPr>
            <w:r w:rsidRPr="002758C6">
              <w:rPr>
                <w:rFonts w:cs="Arial"/>
                <w:b/>
                <w:bCs/>
                <w:color w:val="000000"/>
                <w:szCs w:val="22"/>
              </w:rPr>
              <w:t>7</w:t>
            </w:r>
            <w:r w:rsidR="00297B5B">
              <w:rPr>
                <w:rFonts w:cs="Arial"/>
                <w:b/>
                <w:bCs/>
                <w:color w:val="000000"/>
                <w:szCs w:val="22"/>
              </w:rPr>
              <w:t>84</w:t>
            </w:r>
            <w:r w:rsidRPr="002758C6">
              <w:rPr>
                <w:rFonts w:cs="Arial"/>
                <w:b/>
                <w:bCs/>
                <w:color w:val="000000"/>
                <w:szCs w:val="22"/>
              </w:rPr>
              <w:t>,</w:t>
            </w:r>
            <w:r w:rsidR="00297B5B">
              <w:rPr>
                <w:rFonts w:cs="Arial"/>
                <w:b/>
                <w:bCs/>
                <w:color w:val="000000"/>
                <w:szCs w:val="22"/>
              </w:rPr>
              <w:t>212</w:t>
            </w:r>
          </w:p>
        </w:tc>
        <w:tc>
          <w:tcPr>
            <w:tcW w:w="992" w:type="dxa"/>
            <w:tcBorders>
              <w:top w:val="nil"/>
              <w:left w:val="nil"/>
              <w:bottom w:val="single" w:sz="4" w:space="0" w:color="auto"/>
              <w:right w:val="single" w:sz="4" w:space="0" w:color="auto"/>
            </w:tcBorders>
            <w:shd w:val="clear" w:color="000000" w:fill="D9D9D9"/>
            <w:noWrap/>
            <w:vAlign w:val="bottom"/>
            <w:hideMark/>
          </w:tcPr>
          <w:p w:rsidR="002758C6" w:rsidRPr="002758C6" w:rsidRDefault="00297B5B" w:rsidP="002758C6">
            <w:pPr>
              <w:jc w:val="right"/>
              <w:rPr>
                <w:rFonts w:cs="Arial"/>
                <w:b/>
                <w:bCs/>
                <w:color w:val="000000"/>
                <w:szCs w:val="22"/>
              </w:rPr>
            </w:pPr>
            <w:r>
              <w:rPr>
                <w:rFonts w:cs="Arial"/>
                <w:b/>
                <w:bCs/>
                <w:color w:val="000000"/>
                <w:szCs w:val="22"/>
              </w:rPr>
              <w:t>819,386</w:t>
            </w:r>
          </w:p>
        </w:tc>
        <w:tc>
          <w:tcPr>
            <w:tcW w:w="4061" w:type="dxa"/>
            <w:tcBorders>
              <w:top w:val="nil"/>
              <w:left w:val="nil"/>
              <w:bottom w:val="single" w:sz="4" w:space="0" w:color="auto"/>
              <w:right w:val="single" w:sz="4" w:space="0" w:color="auto"/>
            </w:tcBorders>
            <w:shd w:val="clear" w:color="000000" w:fill="D9D9D9"/>
            <w:noWrap/>
            <w:vAlign w:val="bottom"/>
            <w:hideMark/>
          </w:tcPr>
          <w:p w:rsidR="002758C6" w:rsidRPr="002758C6" w:rsidRDefault="002758C6" w:rsidP="002758C6">
            <w:pPr>
              <w:rPr>
                <w:rFonts w:cs="Arial"/>
                <w:b/>
                <w:bCs/>
                <w:color w:val="000000"/>
                <w:szCs w:val="22"/>
              </w:rPr>
            </w:pPr>
            <w:r w:rsidRPr="002758C6">
              <w:rPr>
                <w:rFonts w:cs="Arial"/>
                <w:b/>
                <w:bCs/>
                <w:color w:val="000000"/>
                <w:szCs w:val="22"/>
              </w:rPr>
              <w:t> </w:t>
            </w:r>
          </w:p>
        </w:tc>
      </w:tr>
    </w:tbl>
    <w:p w:rsidR="002758C6" w:rsidRDefault="002758C6"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Default="00420FD3" w:rsidP="002758C6">
      <w:pPr>
        <w:ind w:left="426" w:hanging="426"/>
        <w:rPr>
          <w:b/>
          <w:szCs w:val="22"/>
        </w:rPr>
      </w:pPr>
    </w:p>
    <w:p w:rsidR="00420FD3" w:rsidRPr="00E44069" w:rsidRDefault="00420FD3" w:rsidP="002758C6">
      <w:pPr>
        <w:ind w:left="426" w:hanging="426"/>
        <w:rPr>
          <w:b/>
          <w:szCs w:val="22"/>
        </w:rPr>
      </w:pPr>
    </w:p>
    <w:p w:rsidR="00077620" w:rsidRDefault="00077620" w:rsidP="00077620">
      <w:pPr>
        <w:ind w:left="426" w:hanging="426"/>
        <w:rPr>
          <w:b/>
          <w:szCs w:val="22"/>
        </w:rPr>
      </w:pPr>
      <w:r>
        <w:rPr>
          <w:b/>
          <w:szCs w:val="22"/>
        </w:rPr>
        <w:t>6.3</w:t>
      </w:r>
      <w:r>
        <w:rPr>
          <w:b/>
          <w:szCs w:val="22"/>
        </w:rPr>
        <w:tab/>
        <w:t>Annual Governance Statement 2017-18</w:t>
      </w:r>
    </w:p>
    <w:p w:rsidR="00A17B2B" w:rsidRDefault="00A17B2B" w:rsidP="002F5C5E">
      <w:pPr>
        <w:rPr>
          <w:szCs w:val="22"/>
        </w:rPr>
      </w:pPr>
    </w:p>
    <w:p w:rsidR="00077620" w:rsidRDefault="00077620" w:rsidP="00077620">
      <w:pPr>
        <w:ind w:left="426"/>
        <w:jc w:val="both"/>
        <w:rPr>
          <w:szCs w:val="22"/>
        </w:rPr>
      </w:pPr>
      <w:r>
        <w:rPr>
          <w:szCs w:val="22"/>
        </w:rPr>
        <w:t xml:space="preserve">We acknowledge that as members of </w:t>
      </w:r>
      <w:r>
        <w:rPr>
          <w:i/>
          <w:szCs w:val="22"/>
        </w:rPr>
        <w:t>CHORLEY AND SOUTH RIBBLE SHARED SERVICES JOINT COMMITTEE</w:t>
      </w:r>
      <w:r>
        <w:rPr>
          <w:szCs w:val="22"/>
        </w:rPr>
        <w:t xml:space="preserve"> our responsibility for ensuring that there is a sound system of internal control, including the preparation of the accounting statements. We confirm, that to the best of our knowledge and belief, with respect to the accounting statements for the year ended 31</w:t>
      </w:r>
      <w:r>
        <w:rPr>
          <w:szCs w:val="22"/>
          <w:vertAlign w:val="superscript"/>
        </w:rPr>
        <w:t>st</w:t>
      </w:r>
      <w:r>
        <w:rPr>
          <w:szCs w:val="22"/>
        </w:rPr>
        <w:t xml:space="preserve"> March 2018, that:</w:t>
      </w:r>
    </w:p>
    <w:p w:rsidR="00077620" w:rsidRDefault="00077620" w:rsidP="00077620">
      <w:pPr>
        <w:ind w:left="426"/>
        <w:jc w:val="both"/>
        <w:rPr>
          <w:szCs w:val="22"/>
        </w:rPr>
      </w:pPr>
    </w:p>
    <w:p w:rsidR="00420FD3" w:rsidRDefault="00077620" w:rsidP="00077620">
      <w:pPr>
        <w:ind w:left="426"/>
        <w:jc w:val="both"/>
        <w:rPr>
          <w:szCs w:val="22"/>
        </w:rPr>
      </w:pP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608"/>
        <w:gridCol w:w="533"/>
        <w:gridCol w:w="3599"/>
      </w:tblGrid>
      <w:tr w:rsidR="00420FD3" w:rsidTr="00420FD3">
        <w:tc>
          <w:tcPr>
            <w:tcW w:w="0" w:type="auto"/>
            <w:tcBorders>
              <w:top w:val="single" w:sz="4" w:space="0" w:color="auto"/>
              <w:left w:val="single" w:sz="4" w:space="0" w:color="auto"/>
              <w:bottom w:val="single" w:sz="4" w:space="0" w:color="auto"/>
              <w:right w:val="single" w:sz="4" w:space="0" w:color="auto"/>
            </w:tcBorders>
          </w:tcPr>
          <w:p w:rsidR="00420FD3" w:rsidRDefault="00420FD3">
            <w:pPr>
              <w:rPr>
                <w:b/>
                <w:szCs w:val="22"/>
              </w:rPr>
            </w:pPr>
          </w:p>
        </w:tc>
        <w:tc>
          <w:tcPr>
            <w:tcW w:w="0" w:type="auto"/>
            <w:gridSpan w:val="2"/>
            <w:tcBorders>
              <w:top w:val="single" w:sz="4" w:space="0" w:color="auto"/>
              <w:left w:val="single" w:sz="4" w:space="0" w:color="auto"/>
              <w:bottom w:val="single" w:sz="4" w:space="0" w:color="auto"/>
              <w:right w:val="single" w:sz="4" w:space="0" w:color="auto"/>
            </w:tcBorders>
            <w:hideMark/>
          </w:tcPr>
          <w:p w:rsidR="00420FD3" w:rsidRDefault="00420FD3">
            <w:pPr>
              <w:rPr>
                <w:b/>
                <w:szCs w:val="22"/>
              </w:rPr>
            </w:pPr>
            <w:r>
              <w:rPr>
                <w:b/>
                <w:szCs w:val="22"/>
              </w:rPr>
              <w:t>Agreed -</w:t>
            </w:r>
          </w:p>
        </w:tc>
        <w:tc>
          <w:tcPr>
            <w:tcW w:w="0" w:type="auto"/>
            <w:vMerge w:val="restart"/>
            <w:tcBorders>
              <w:top w:val="single" w:sz="4" w:space="0" w:color="auto"/>
              <w:left w:val="single" w:sz="4" w:space="0" w:color="auto"/>
              <w:bottom w:val="single" w:sz="4" w:space="0" w:color="auto"/>
              <w:right w:val="single" w:sz="4" w:space="0" w:color="auto"/>
            </w:tcBorders>
            <w:hideMark/>
          </w:tcPr>
          <w:p w:rsidR="00420FD3" w:rsidRDefault="00420FD3">
            <w:pPr>
              <w:rPr>
                <w:b/>
                <w:szCs w:val="22"/>
              </w:rPr>
            </w:pPr>
            <w:r>
              <w:rPr>
                <w:b/>
                <w:szCs w:val="22"/>
              </w:rPr>
              <w:t>‘Yes’</w:t>
            </w:r>
          </w:p>
          <w:p w:rsidR="00420FD3" w:rsidRDefault="00420FD3">
            <w:pPr>
              <w:rPr>
                <w:b/>
                <w:szCs w:val="22"/>
              </w:rPr>
            </w:pPr>
            <w:r>
              <w:rPr>
                <w:b/>
                <w:szCs w:val="22"/>
              </w:rPr>
              <w:t>Means that the body:</w:t>
            </w:r>
          </w:p>
        </w:tc>
      </w:tr>
      <w:tr w:rsidR="00420FD3" w:rsidTr="00420FD3">
        <w:tc>
          <w:tcPr>
            <w:tcW w:w="0" w:type="auto"/>
            <w:tcBorders>
              <w:top w:val="single" w:sz="4" w:space="0" w:color="auto"/>
              <w:left w:val="single" w:sz="4" w:space="0" w:color="auto"/>
              <w:bottom w:val="single" w:sz="4" w:space="0" w:color="auto"/>
              <w:right w:val="single" w:sz="4" w:space="0" w:color="auto"/>
            </w:tcBorders>
          </w:tcPr>
          <w:p w:rsidR="00420FD3" w:rsidRDefault="00420FD3">
            <w:pPr>
              <w:rPr>
                <w:b/>
                <w:szCs w:val="22"/>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b/>
                <w:szCs w:val="22"/>
              </w:rPr>
            </w:pPr>
            <w:r>
              <w:rPr>
                <w:b/>
                <w:szCs w:val="22"/>
              </w:rPr>
              <w:t>Yes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b/>
                <w:szCs w:val="22"/>
              </w:rPr>
            </w:pPr>
            <w:r>
              <w:rPr>
                <w:b/>
                <w:szCs w:val="22"/>
              </w:rPr>
              <w:t>No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FD3" w:rsidRDefault="00420FD3">
            <w:pPr>
              <w:rPr>
                <w:b/>
                <w:szCs w:val="22"/>
              </w:rPr>
            </w:pP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maintained an adequate system of internal control, including measures designed to prevent and detect fraud and corruption and reviewed its effectiveness.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Made proper arrangements and accepted responsibility for safeguarding the public money and resources in its charge.</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Made proper arrangements and accepted responsibility for safeguarding the public money and resources in its charge.</w:t>
            </w:r>
          </w:p>
          <w:p w:rsidR="00420FD3" w:rsidRDefault="00420FD3">
            <w:pPr>
              <w:autoSpaceDE w:val="0"/>
              <w:autoSpaceDN w:val="0"/>
              <w:adjustRightInd w:val="0"/>
              <w:rPr>
                <w:rFonts w:cs="Arial"/>
                <w:sz w:val="20"/>
              </w:rPr>
            </w:pPr>
            <w:r>
              <w:rPr>
                <w:rFonts w:cs="Arial"/>
                <w:sz w:val="20"/>
              </w:rPr>
              <w:t>We took all reasonable steps to assure ourselves that there are no matters of actual or potential noncompliance with laws, regulations and proper practices that could have a significant effect on the ability of the body to conduct its business or on its finances.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Has only done what it has the legal power to do and has complied with proper practices in doing so.</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provided proper opportunity during the year for the exercise of elector’s rights in accordance with the requirements of the Accounts and Audit Regulations.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During the year has given all persons interested the opportunity to inspect and ask questions about the body’s accounts.</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carried out an assessment of the risks facing the body and took appropriate steps to manage those risks, including the introduction of internal controls and/or external insurance cover where required.</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Considered the financial and other risks it faces and has dealt with them properly.</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maintained throughout the year an adequate and effective system of internal audit of the body’s accounting records and control systems.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Arranged for a competent person, independent of the financial controls and procedures, to give an objective view on whether internal controls meet the needs of the body.</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took appropriate action on all matters raised in audit reports.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Responded to matters brought to its attention.</w:t>
            </w:r>
          </w:p>
        </w:tc>
      </w:tr>
      <w:tr w:rsidR="00420FD3" w:rsidTr="00420FD3">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We considered whether any litigation, liabilities or commitments, events or transactions, occurring either during or after the year-end, have a financial impact on the body and where appropriate have included them in the accounting statements.</w:t>
            </w: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rPr>
                <w:rFonts w:cs="Arial"/>
                <w:sz w:val="20"/>
              </w:rPr>
            </w:pPr>
            <w:r>
              <w:rPr>
                <w:rFonts w:cs="Arial"/>
                <w:sz w:val="20"/>
              </w:rPr>
              <w:t>Yes</w:t>
            </w:r>
          </w:p>
        </w:tc>
        <w:tc>
          <w:tcPr>
            <w:tcW w:w="0" w:type="auto"/>
            <w:tcBorders>
              <w:top w:val="single" w:sz="4" w:space="0" w:color="auto"/>
              <w:left w:val="single" w:sz="4" w:space="0" w:color="auto"/>
              <w:bottom w:val="single" w:sz="4" w:space="0" w:color="auto"/>
              <w:right w:val="single" w:sz="4" w:space="0" w:color="auto"/>
            </w:tcBorders>
          </w:tcPr>
          <w:p w:rsidR="00420FD3" w:rsidRDefault="00420FD3">
            <w:pPr>
              <w:rPr>
                <w:rFonts w:cs="Arial"/>
                <w:b/>
                <w:sz w:val="20"/>
              </w:rPr>
            </w:pPr>
          </w:p>
        </w:tc>
        <w:tc>
          <w:tcPr>
            <w:tcW w:w="0" w:type="auto"/>
            <w:tcBorders>
              <w:top w:val="single" w:sz="4" w:space="0" w:color="auto"/>
              <w:left w:val="single" w:sz="4" w:space="0" w:color="auto"/>
              <w:bottom w:val="single" w:sz="4" w:space="0" w:color="auto"/>
              <w:right w:val="single" w:sz="4" w:space="0" w:color="auto"/>
            </w:tcBorders>
            <w:hideMark/>
          </w:tcPr>
          <w:p w:rsidR="00420FD3" w:rsidRDefault="00420FD3">
            <w:pPr>
              <w:autoSpaceDE w:val="0"/>
              <w:autoSpaceDN w:val="0"/>
              <w:adjustRightInd w:val="0"/>
              <w:rPr>
                <w:rFonts w:cs="Arial"/>
                <w:sz w:val="20"/>
              </w:rPr>
            </w:pPr>
            <w:r>
              <w:rPr>
                <w:rFonts w:cs="Arial"/>
                <w:sz w:val="20"/>
              </w:rPr>
              <w:t>Disclosed everything it should have about its business activity during the year including events taking place after the year-end if relevant.</w:t>
            </w:r>
          </w:p>
        </w:tc>
      </w:tr>
    </w:tbl>
    <w:p w:rsidR="00077620" w:rsidRDefault="00077620" w:rsidP="00077620">
      <w:pPr>
        <w:ind w:left="426"/>
        <w:jc w:val="both"/>
        <w:rPr>
          <w:szCs w:val="22"/>
        </w:rPr>
      </w:pPr>
    </w:p>
    <w:p w:rsidR="00077620" w:rsidRDefault="00420FD3" w:rsidP="002F5C5E">
      <w:pPr>
        <w:rPr>
          <w:szCs w:val="22"/>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wp:posOffset>
                </wp:positionV>
                <wp:extent cx="6073775" cy="485775"/>
                <wp:effectExtent l="9525" t="11430"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85775"/>
                        </a:xfrm>
                        <a:prstGeom prst="rect">
                          <a:avLst/>
                        </a:prstGeom>
                        <a:solidFill>
                          <a:srgbClr val="4BACC6"/>
                        </a:solidFill>
                        <a:ln w="12700">
                          <a:solidFill>
                            <a:srgbClr val="0000FF"/>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20FD3" w:rsidRDefault="00420FD3" w:rsidP="00420FD3">
                            <w:pPr>
                              <w:rPr>
                                <w:sz w:val="20"/>
                              </w:rPr>
                            </w:pPr>
                            <w:r>
                              <w:rPr>
                                <w:sz w:val="20"/>
                              </w:rPr>
                              <w:t>* Note: Please provide explanations to the auditor on a separate sheet for each ‘No’ response.</w:t>
                            </w:r>
                          </w:p>
                          <w:p w:rsidR="00420FD3" w:rsidRDefault="00420FD3" w:rsidP="00420FD3">
                            <w:pPr>
                              <w:rPr>
                                <w:sz w:val="20"/>
                              </w:rPr>
                            </w:pPr>
                            <w:r>
                              <w:rPr>
                                <w:sz w:val="20"/>
                              </w:rPr>
                              <w:t>Describe how the council will address the weaknesses identified.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pt;width:478.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" fillcolor="#4bacc6" strokecolor="blue" strokeweight="1pt">
                <v:shadow color="#205867" opacity=".5" offset="1pt"/>
                <v:textbox>
                  <w:txbxContent>
                    <w:p w:rsidR="00420FD3" w:rsidRDefault="00420FD3" w:rsidP="00420FD3">
                      <w:pPr>
                        <w:rPr>
                          <w:sz w:val="20"/>
                        </w:rPr>
                      </w:pPr>
                      <w:r>
                        <w:rPr>
                          <w:sz w:val="20"/>
                        </w:rPr>
                        <w:t>* Note: Please provide explanations to the auditor on a separate sheet for each ‘No’ response.</w:t>
                      </w:r>
                    </w:p>
                    <w:p w:rsidR="00420FD3" w:rsidRDefault="00420FD3" w:rsidP="00420FD3">
                      <w:pPr>
                        <w:rPr>
                          <w:sz w:val="20"/>
                        </w:rPr>
                      </w:pPr>
                      <w:r>
                        <w:rPr>
                          <w:sz w:val="20"/>
                        </w:rPr>
                        <w:t>Describe how the council will address the weaknesses identified.</w:t>
                      </w:r>
                    </w:p>
                  </w:txbxContent>
                </v:textbox>
              </v:shape>
            </w:pict>
          </mc:Fallback>
        </mc:AlternateContent>
      </w:r>
    </w:p>
    <w:p w:rsidR="00A17B2B" w:rsidRPr="00A17B2B" w:rsidRDefault="00A17B2B" w:rsidP="002F5C5E">
      <w:pPr>
        <w:rPr>
          <w:szCs w:val="22"/>
        </w:rPr>
      </w:pPr>
    </w:p>
    <w:p w:rsidR="001938D6" w:rsidRPr="00792A2B" w:rsidRDefault="00EB2D32" w:rsidP="002F5C5E">
      <w:pPr>
        <w:rPr>
          <w:b/>
          <w:szCs w:val="22"/>
        </w:rPr>
      </w:pPr>
      <w:r w:rsidRPr="00792A2B">
        <w:rPr>
          <w:b/>
          <w:szCs w:val="22"/>
        </w:rPr>
        <w:t>7</w:t>
      </w:r>
      <w:r w:rsidR="002F5C5E" w:rsidRPr="00792A2B">
        <w:rPr>
          <w:b/>
          <w:szCs w:val="22"/>
        </w:rPr>
        <w:t xml:space="preserve">.   </w:t>
      </w:r>
      <w:r w:rsidR="001938D6" w:rsidRPr="00792A2B">
        <w:rPr>
          <w:b/>
          <w:szCs w:val="22"/>
        </w:rPr>
        <w:t xml:space="preserve">CONSULTATION CARRIED OUT AND OUTCOME OF CONSULTATION </w:t>
      </w:r>
    </w:p>
    <w:p w:rsidR="001938D6" w:rsidRDefault="001938D6" w:rsidP="002F5C5E">
      <w:pPr>
        <w:rPr>
          <w:b/>
          <w:szCs w:val="22"/>
        </w:rPr>
      </w:pPr>
    </w:p>
    <w:p w:rsidR="00420FD3" w:rsidRDefault="00420FD3" w:rsidP="002F5C5E">
      <w:pPr>
        <w:rPr>
          <w:b/>
          <w:szCs w:val="22"/>
        </w:rPr>
      </w:pPr>
    </w:p>
    <w:p w:rsidR="00420FD3" w:rsidRDefault="00420FD3" w:rsidP="002F5C5E">
      <w:pPr>
        <w:rPr>
          <w:b/>
          <w:szCs w:val="22"/>
        </w:rPr>
      </w:pPr>
    </w:p>
    <w:p w:rsidR="00420FD3" w:rsidRDefault="00420FD3" w:rsidP="002F5C5E">
      <w:pPr>
        <w:rPr>
          <w:b/>
          <w:szCs w:val="22"/>
        </w:rPr>
      </w:pPr>
    </w:p>
    <w:p w:rsidR="00420FD3" w:rsidRDefault="00420FD3" w:rsidP="002F5C5E">
      <w:pPr>
        <w:rPr>
          <w:b/>
          <w:szCs w:val="22"/>
        </w:rPr>
      </w:pPr>
    </w:p>
    <w:p w:rsidR="00420FD3" w:rsidRDefault="00420FD3" w:rsidP="002F5C5E">
      <w:pPr>
        <w:rPr>
          <w:b/>
          <w:szCs w:val="22"/>
        </w:rPr>
      </w:pPr>
    </w:p>
    <w:p w:rsidR="00420FD3" w:rsidRDefault="00420FD3" w:rsidP="002F5C5E">
      <w:pPr>
        <w:rPr>
          <w:b/>
          <w:szCs w:val="22"/>
        </w:rPr>
      </w:pPr>
    </w:p>
    <w:p w:rsidR="00420FD3" w:rsidRDefault="00420FD3" w:rsidP="002F5C5E">
      <w:pPr>
        <w:rPr>
          <w:b/>
          <w:szCs w:val="22"/>
        </w:rPr>
      </w:pPr>
    </w:p>
    <w:p w:rsidR="008637F0" w:rsidRDefault="008637F0" w:rsidP="00C66403">
      <w:pPr>
        <w:rPr>
          <w:b/>
          <w:szCs w:val="22"/>
        </w:rPr>
      </w:pPr>
    </w:p>
    <w:p w:rsidR="00C66403" w:rsidRPr="00792A2B" w:rsidRDefault="006211F4" w:rsidP="00C66403">
      <w:pPr>
        <w:rPr>
          <w:b/>
          <w:szCs w:val="22"/>
        </w:rPr>
      </w:pPr>
      <w:r>
        <w:rPr>
          <w:b/>
          <w:szCs w:val="22"/>
        </w:rPr>
        <w:lastRenderedPageBreak/>
        <w:t xml:space="preserve">7. </w:t>
      </w:r>
      <w:r w:rsidR="00C66403" w:rsidRPr="00792A2B">
        <w:rPr>
          <w:b/>
          <w:szCs w:val="22"/>
        </w:rPr>
        <w:t xml:space="preserve">CONSULTATION CARRIED OUT AND OUTCOME OF CONSULTATION </w:t>
      </w:r>
    </w:p>
    <w:p w:rsidR="006211F4" w:rsidRDefault="006211F4" w:rsidP="002F5C5E">
      <w:pPr>
        <w:rPr>
          <w:b/>
          <w:szCs w:val="22"/>
        </w:rPr>
      </w:pPr>
    </w:p>
    <w:p w:rsidR="001938D6" w:rsidRPr="00792A2B" w:rsidRDefault="001938D6" w:rsidP="002F5C5E">
      <w:pPr>
        <w:rPr>
          <w:rFonts w:cs="Arial"/>
          <w:i/>
          <w:color w:val="2E74B5"/>
        </w:rPr>
      </w:pPr>
      <w:r w:rsidRPr="00C66403">
        <w:rPr>
          <w:szCs w:val="22"/>
        </w:rPr>
        <w:t>7.</w:t>
      </w:r>
      <w:r w:rsidRPr="008637F0">
        <w:rPr>
          <w:szCs w:val="22"/>
        </w:rPr>
        <w:t>1</w:t>
      </w:r>
      <w:r w:rsidR="00F43895" w:rsidRPr="008637F0">
        <w:rPr>
          <w:b/>
          <w:szCs w:val="22"/>
        </w:rPr>
        <w:t xml:space="preserve">   </w:t>
      </w:r>
      <w:r w:rsidR="004F46BF" w:rsidRPr="008637F0">
        <w:rPr>
          <w:rFonts w:cs="Arial"/>
        </w:rPr>
        <w:t>No</w:t>
      </w:r>
      <w:r w:rsidR="00420FD3" w:rsidRPr="008637F0">
        <w:rPr>
          <w:rFonts w:cs="Arial"/>
        </w:rPr>
        <w:t xml:space="preserve"> consultation is required.</w:t>
      </w:r>
    </w:p>
    <w:p w:rsidR="00F43895" w:rsidRPr="00792A2B" w:rsidRDefault="00F43895" w:rsidP="002F5C5E">
      <w:pPr>
        <w:rPr>
          <w:rFonts w:cs="Arial"/>
          <w:i/>
          <w:color w:val="2E74B5"/>
        </w:rPr>
      </w:pPr>
    </w:p>
    <w:p w:rsidR="00F43895" w:rsidRPr="00792A2B" w:rsidRDefault="00F43895" w:rsidP="00F43895">
      <w:pPr>
        <w:rPr>
          <w:b/>
          <w:szCs w:val="22"/>
        </w:rPr>
      </w:pPr>
      <w:r w:rsidRPr="00792A2B">
        <w:rPr>
          <w:b/>
          <w:szCs w:val="22"/>
        </w:rPr>
        <w:t xml:space="preserve">8.    </w:t>
      </w:r>
      <w:r w:rsidRPr="00792A2B">
        <w:rPr>
          <w:rFonts w:cs="Arial"/>
          <w:b/>
          <w:caps/>
        </w:rPr>
        <w:t>Financial implications</w:t>
      </w:r>
    </w:p>
    <w:p w:rsidR="00F43895" w:rsidRPr="00792A2B" w:rsidRDefault="00F43895" w:rsidP="00F43895">
      <w:pPr>
        <w:ind w:left="567"/>
        <w:rPr>
          <w:rFonts w:cs="Arial"/>
          <w:b/>
          <w:caps/>
        </w:rPr>
      </w:pPr>
    </w:p>
    <w:p w:rsidR="00F43895" w:rsidRPr="008637F0" w:rsidRDefault="00420FD3" w:rsidP="00420FD3">
      <w:pPr>
        <w:numPr>
          <w:ilvl w:val="1"/>
          <w:numId w:val="12"/>
        </w:numPr>
        <w:jc w:val="both"/>
        <w:rPr>
          <w:rFonts w:cs="Arial"/>
          <w:caps/>
        </w:rPr>
      </w:pPr>
      <w:r w:rsidRPr="008637F0">
        <w:rPr>
          <w:rFonts w:cs="Arial"/>
        </w:rPr>
        <w:t>T</w:t>
      </w:r>
      <w:r w:rsidR="00A5242D" w:rsidRPr="008637F0">
        <w:rPr>
          <w:rFonts w:cs="Arial"/>
        </w:rPr>
        <w:t>he financial implications are contained within the body of the report.</w:t>
      </w:r>
    </w:p>
    <w:p w:rsidR="00F43895" w:rsidRPr="00792A2B" w:rsidRDefault="00F43895" w:rsidP="00F43895">
      <w:pPr>
        <w:rPr>
          <w:rFonts w:cs="Arial"/>
          <w:b/>
          <w:color w:val="2E74B5"/>
        </w:rPr>
      </w:pPr>
    </w:p>
    <w:p w:rsidR="00F43895" w:rsidRPr="00792A2B" w:rsidRDefault="00F43895" w:rsidP="00F43895">
      <w:pPr>
        <w:rPr>
          <w:rFonts w:cs="Arial"/>
          <w:b/>
          <w:caps/>
        </w:rPr>
      </w:pPr>
      <w:r w:rsidRPr="00792A2B">
        <w:rPr>
          <w:rFonts w:cs="Arial"/>
          <w:b/>
          <w:caps/>
        </w:rPr>
        <w:t>9.    LEGAL IMPLICATIONS</w:t>
      </w:r>
    </w:p>
    <w:p w:rsidR="00F43895" w:rsidRPr="00792A2B" w:rsidRDefault="00F43895" w:rsidP="00F43895">
      <w:pPr>
        <w:rPr>
          <w:rFonts w:cs="Arial"/>
          <w:b/>
          <w:caps/>
        </w:rPr>
      </w:pPr>
    </w:p>
    <w:p w:rsidR="00F43895" w:rsidRPr="007338AC" w:rsidRDefault="00F43895" w:rsidP="00F43895">
      <w:pPr>
        <w:numPr>
          <w:ilvl w:val="1"/>
          <w:numId w:val="13"/>
        </w:numPr>
        <w:rPr>
          <w:rFonts w:cs="Arial"/>
          <w:caps/>
          <w:color w:val="2E74B5"/>
        </w:rPr>
      </w:pPr>
      <w:r w:rsidRPr="00792A2B">
        <w:rPr>
          <w:rFonts w:cs="Arial"/>
          <w:b/>
          <w:caps/>
        </w:rPr>
        <w:t xml:space="preserve">  </w:t>
      </w:r>
      <w:r w:rsidR="00D1249E">
        <w:rPr>
          <w:szCs w:val="22"/>
        </w:rPr>
        <w:t>See comments of the Monitoring Officer.</w:t>
      </w:r>
    </w:p>
    <w:p w:rsidR="00F43895" w:rsidRPr="00792A2B" w:rsidRDefault="00F43895" w:rsidP="00F43895">
      <w:pPr>
        <w:rPr>
          <w:rFonts w:cs="Arial"/>
          <w:b/>
          <w:caps/>
        </w:rPr>
      </w:pPr>
    </w:p>
    <w:p w:rsidR="00F43895" w:rsidRPr="00792A2B" w:rsidRDefault="00F43895" w:rsidP="00F43895">
      <w:pPr>
        <w:rPr>
          <w:rFonts w:cs="Arial"/>
          <w:b/>
        </w:rPr>
      </w:pPr>
      <w:r w:rsidRPr="00792A2B">
        <w:rPr>
          <w:rFonts w:cs="Arial"/>
          <w:b/>
        </w:rPr>
        <w:t>10.  COMMENTS OF THE STATUTORY FINANCE OFFICER</w:t>
      </w:r>
    </w:p>
    <w:p w:rsidR="00BE2A3F" w:rsidRPr="00792A2B" w:rsidRDefault="00BE2A3F" w:rsidP="00F43895">
      <w:pPr>
        <w:rPr>
          <w:rFonts w:cs="Arial"/>
          <w:b/>
        </w:rPr>
      </w:pPr>
    </w:p>
    <w:p w:rsidR="00BE2A3F" w:rsidRPr="00297B5B" w:rsidRDefault="00297B5B" w:rsidP="00297B5B">
      <w:pPr>
        <w:ind w:left="720" w:hanging="720"/>
        <w:jc w:val="both"/>
        <w:rPr>
          <w:rFonts w:cs="Arial"/>
        </w:rPr>
      </w:pPr>
      <w:r>
        <w:rPr>
          <w:rFonts w:cs="Arial"/>
        </w:rPr>
        <w:t xml:space="preserve">10.1 </w:t>
      </w:r>
      <w:r w:rsidR="00A5242D" w:rsidRPr="00297B5B">
        <w:rPr>
          <w:rFonts w:cs="Arial"/>
        </w:rPr>
        <w:t>The detailed accounting transactions are contained within ea</w:t>
      </w:r>
      <w:r w:rsidR="008637F0">
        <w:rPr>
          <w:rFonts w:cs="Arial"/>
        </w:rPr>
        <w:t xml:space="preserve">ch Council’s general ledger and </w:t>
      </w:r>
      <w:r w:rsidR="00A5242D" w:rsidRPr="00297B5B">
        <w:rPr>
          <w:rFonts w:cs="Arial"/>
        </w:rPr>
        <w:t>are therefore subject to external audit inspection as part of the closure of accounts process. This includes the performance against the Shared Services budget within each Councils’ budget and Medium Term Financial Strategy. As the statements above are held within each Councils’ accounting systems, Shared Services has no separate bank account and does not hold any reserves.</w:t>
      </w:r>
    </w:p>
    <w:p w:rsidR="00F43895" w:rsidRPr="00792A2B" w:rsidRDefault="00F43895" w:rsidP="00A5242D">
      <w:pPr>
        <w:jc w:val="both"/>
        <w:rPr>
          <w:rFonts w:cs="Arial"/>
          <w:b/>
          <w:i/>
        </w:rPr>
      </w:pPr>
    </w:p>
    <w:p w:rsidR="00F43895" w:rsidRPr="00792A2B" w:rsidRDefault="00BE2A3F" w:rsidP="00A5242D">
      <w:pPr>
        <w:jc w:val="both"/>
        <w:rPr>
          <w:rFonts w:cs="Arial"/>
          <w:b/>
        </w:rPr>
      </w:pPr>
      <w:r w:rsidRPr="00792A2B">
        <w:rPr>
          <w:rFonts w:cs="Arial"/>
          <w:b/>
        </w:rPr>
        <w:t xml:space="preserve">11.  </w:t>
      </w:r>
      <w:r w:rsidR="00F43895" w:rsidRPr="00792A2B">
        <w:rPr>
          <w:rFonts w:cs="Arial"/>
          <w:b/>
        </w:rPr>
        <w:t>COMMENTS OF THE MONITORING OFFICER</w:t>
      </w:r>
    </w:p>
    <w:p w:rsidR="00F43895" w:rsidRPr="00792A2B" w:rsidRDefault="00F43895" w:rsidP="00F43895">
      <w:pPr>
        <w:ind w:left="567"/>
        <w:rPr>
          <w:rFonts w:cs="Arial"/>
          <w:b/>
        </w:rPr>
      </w:pPr>
    </w:p>
    <w:p w:rsidR="007338AC" w:rsidRPr="007338AC" w:rsidRDefault="007338AC" w:rsidP="007338AC">
      <w:pPr>
        <w:numPr>
          <w:ilvl w:val="1"/>
          <w:numId w:val="20"/>
        </w:numPr>
        <w:rPr>
          <w:rFonts w:cs="Arial"/>
          <w:b/>
        </w:rPr>
      </w:pPr>
      <w:r w:rsidRPr="007338AC">
        <w:rPr>
          <w:rFonts w:cs="Arial"/>
        </w:rPr>
        <w:t>There are no concerns to raise from a Monitoring Officer perspective. The purpose of the report is to provide transparency with regard to our shared services arrangements.</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12.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A5242D">
            <w:pPr>
              <w:rPr>
                <w:szCs w:val="22"/>
              </w:rPr>
            </w:pPr>
          </w:p>
        </w:tc>
        <w:tc>
          <w:tcPr>
            <w:tcW w:w="6379" w:type="dxa"/>
            <w:shd w:val="clear" w:color="auto" w:fill="auto"/>
          </w:tcPr>
          <w:p w:rsidR="002F5C5E" w:rsidRPr="00792A2B" w:rsidRDefault="002F5C5E" w:rsidP="00AC4A99">
            <w:pPr>
              <w:rPr>
                <w:szCs w:val="22"/>
              </w:rPr>
            </w:pPr>
          </w:p>
          <w:p w:rsidR="00F43895" w:rsidRPr="007338AC" w:rsidRDefault="007338AC" w:rsidP="00AC4A99">
            <w:pPr>
              <w:rPr>
                <w:i/>
                <w:szCs w:val="22"/>
              </w:rPr>
            </w:pPr>
            <w:r w:rsidRPr="007338AC">
              <w:rPr>
                <w:i/>
                <w:szCs w:val="22"/>
              </w:rPr>
              <w:t>None</w:t>
            </w:r>
          </w:p>
          <w:p w:rsidR="00F43895" w:rsidRPr="007338AC" w:rsidRDefault="00F43895" w:rsidP="00AC4A99">
            <w:pPr>
              <w:rPr>
                <w:i/>
                <w:szCs w:val="22"/>
              </w:rPr>
            </w:pPr>
          </w:p>
          <w:p w:rsidR="00A56681" w:rsidRPr="007338AC" w:rsidRDefault="00A56681" w:rsidP="00AC4A99">
            <w:pPr>
              <w:rPr>
                <w:i/>
                <w:szCs w:val="22"/>
              </w:rPr>
            </w:pPr>
          </w:p>
          <w:p w:rsidR="00F43895" w:rsidRPr="007338AC" w:rsidRDefault="007338AC" w:rsidP="00AC4A99">
            <w:pPr>
              <w:rPr>
                <w:i/>
                <w:szCs w:val="22"/>
              </w:rPr>
            </w:pPr>
            <w:r w:rsidRPr="007338AC">
              <w:rPr>
                <w:i/>
                <w:szCs w:val="22"/>
              </w:rPr>
              <w:t>None</w:t>
            </w:r>
          </w:p>
          <w:p w:rsidR="00F43895" w:rsidRPr="007338AC" w:rsidRDefault="00F43895" w:rsidP="00AC4A99">
            <w:pPr>
              <w:rPr>
                <w:i/>
                <w:szCs w:val="22"/>
              </w:rPr>
            </w:pPr>
          </w:p>
          <w:p w:rsidR="00A56681" w:rsidRPr="007338AC" w:rsidRDefault="00A56681" w:rsidP="00AC4A99">
            <w:pPr>
              <w:rPr>
                <w:i/>
                <w:szCs w:val="22"/>
              </w:rPr>
            </w:pPr>
          </w:p>
          <w:p w:rsidR="00F43895" w:rsidRPr="007338AC" w:rsidRDefault="007338AC" w:rsidP="00AC4A99">
            <w:pPr>
              <w:rPr>
                <w:i/>
                <w:szCs w:val="22"/>
              </w:rPr>
            </w:pPr>
            <w:r w:rsidRPr="007338AC">
              <w:rPr>
                <w:i/>
                <w:szCs w:val="22"/>
              </w:rPr>
              <w:t>None</w:t>
            </w:r>
          </w:p>
          <w:p w:rsidR="00F43895" w:rsidRPr="007338AC" w:rsidRDefault="00F43895" w:rsidP="00AC4A99">
            <w:pPr>
              <w:rPr>
                <w:i/>
                <w:szCs w:val="22"/>
              </w:rPr>
            </w:pPr>
          </w:p>
          <w:p w:rsidR="00A56681" w:rsidRPr="007338AC" w:rsidRDefault="00A56681" w:rsidP="00AC4A99">
            <w:pPr>
              <w:rPr>
                <w:i/>
                <w:szCs w:val="22"/>
              </w:rPr>
            </w:pPr>
          </w:p>
          <w:p w:rsidR="00F43895" w:rsidRPr="007338AC" w:rsidRDefault="007338AC" w:rsidP="00AC4A99">
            <w:pPr>
              <w:rPr>
                <w:i/>
                <w:szCs w:val="22"/>
              </w:rPr>
            </w:pPr>
            <w:r w:rsidRPr="007338AC">
              <w:rPr>
                <w:i/>
                <w:szCs w:val="22"/>
              </w:rPr>
              <w:t>None</w:t>
            </w:r>
          </w:p>
          <w:p w:rsidR="00F43895" w:rsidRPr="007338AC" w:rsidRDefault="00F43895" w:rsidP="00AC4A99">
            <w:pPr>
              <w:rPr>
                <w:i/>
                <w:szCs w:val="22"/>
              </w:rPr>
            </w:pPr>
          </w:p>
          <w:p w:rsidR="00F43895" w:rsidRPr="00F43895" w:rsidRDefault="007338AC" w:rsidP="00AC4A99">
            <w:pPr>
              <w:rPr>
                <w:i/>
                <w:color w:val="2E74B5" w:themeColor="accent1" w:themeShade="BF"/>
                <w:szCs w:val="22"/>
              </w:rPr>
            </w:pPr>
            <w:r w:rsidRPr="007338AC">
              <w:rPr>
                <w:i/>
                <w:szCs w:val="22"/>
              </w:rPr>
              <w:t>None</w:t>
            </w:r>
          </w:p>
        </w:tc>
      </w:tr>
    </w:tbl>
    <w:p w:rsidR="000B5251" w:rsidRDefault="000B5251" w:rsidP="002F5C5E">
      <w:pPr>
        <w:rPr>
          <w:b/>
          <w:szCs w:val="22"/>
        </w:rPr>
      </w:pPr>
      <w:r>
        <w:rPr>
          <w:b/>
          <w:szCs w:val="22"/>
        </w:rPr>
        <w:t>13. BACKGROUND DOCUMENTS</w:t>
      </w:r>
    </w:p>
    <w:p w:rsidR="00A5242D" w:rsidRPr="009C1143" w:rsidRDefault="00A5242D" w:rsidP="002F5C5E">
      <w:pPr>
        <w:rPr>
          <w:szCs w:val="22"/>
        </w:rPr>
      </w:pPr>
    </w:p>
    <w:p w:rsidR="00A5242D" w:rsidRPr="008637F0" w:rsidRDefault="00A5242D" w:rsidP="000B5251">
      <w:pPr>
        <w:rPr>
          <w:szCs w:val="22"/>
        </w:rPr>
      </w:pPr>
      <w:r w:rsidRPr="008637F0">
        <w:rPr>
          <w:szCs w:val="22"/>
        </w:rPr>
        <w:t>There are no background papers to this report.</w:t>
      </w:r>
      <w:r w:rsidR="00D1249E">
        <w:rPr>
          <w:szCs w:val="22"/>
        </w:rPr>
        <w:t xml:space="preserve"> </w:t>
      </w:r>
      <w:bookmarkStart w:id="0" w:name="_GoBack"/>
      <w:bookmarkEnd w:id="0"/>
    </w:p>
    <w:p w:rsidR="000B5251" w:rsidRPr="008637F0" w:rsidRDefault="00A5242D" w:rsidP="000B5251">
      <w:pPr>
        <w:rPr>
          <w:b/>
        </w:rPr>
      </w:pPr>
      <w:r w:rsidRPr="008637F0">
        <w:rPr>
          <w:b/>
        </w:rPr>
        <w:t>14. APPENDICES</w:t>
      </w:r>
    </w:p>
    <w:p w:rsidR="000B5251" w:rsidRPr="008637F0" w:rsidRDefault="000B5251" w:rsidP="000B5251">
      <w:pPr>
        <w:rPr>
          <w:b/>
        </w:rPr>
      </w:pPr>
    </w:p>
    <w:p w:rsidR="000B5251" w:rsidRPr="008637F0" w:rsidRDefault="00A5242D" w:rsidP="000B5251">
      <w:pPr>
        <w:ind w:left="720" w:hanging="720"/>
        <w:rPr>
          <w:rFonts w:cs="Arial"/>
        </w:rPr>
      </w:pPr>
      <w:r w:rsidRPr="008637F0">
        <w:rPr>
          <w:rFonts w:cs="Arial"/>
        </w:rPr>
        <w:t>There are no appendices to this report.</w:t>
      </w:r>
    </w:p>
    <w:p w:rsidR="001C5E49" w:rsidRDefault="001C5E49" w:rsidP="000B5251">
      <w:pPr>
        <w:tabs>
          <w:tab w:val="left" w:pos="2839"/>
        </w:tabs>
        <w:rPr>
          <w:b/>
          <w:szCs w:val="22"/>
        </w:rPr>
      </w:pPr>
    </w:p>
    <w:p w:rsidR="001C5E49" w:rsidRPr="008637F0" w:rsidRDefault="008637F0" w:rsidP="008637F0">
      <w:pPr>
        <w:tabs>
          <w:tab w:val="left" w:pos="2839"/>
        </w:tabs>
        <w:rPr>
          <w:rFonts w:cs="Arial"/>
        </w:rPr>
      </w:pPr>
      <w:r w:rsidRPr="008637F0">
        <w:rPr>
          <w:rFonts w:cs="Arial"/>
        </w:rPr>
        <w:t>Tim Povall</w:t>
      </w:r>
    </w:p>
    <w:p w:rsidR="001C5E49" w:rsidRDefault="008637F0" w:rsidP="001C5E49">
      <w:pPr>
        <w:tabs>
          <w:tab w:val="left" w:pos="2839"/>
        </w:tabs>
        <w:ind w:left="426" w:hanging="426"/>
        <w:rPr>
          <w:rFonts w:cs="Arial"/>
          <w:color w:val="2E2D2D"/>
        </w:rPr>
      </w:pPr>
      <w:r>
        <w:rPr>
          <w:rFonts w:cs="Arial"/>
          <w:color w:val="2E2D2D"/>
        </w:rPr>
        <w:t xml:space="preserve">Deputy Chief Executive (Resources </w:t>
      </w:r>
      <w:r w:rsidR="007338AC">
        <w:rPr>
          <w:rFonts w:cs="Arial"/>
          <w:color w:val="2E2D2D"/>
        </w:rPr>
        <w:t>and</w:t>
      </w:r>
      <w:r>
        <w:rPr>
          <w:rFonts w:cs="Arial"/>
          <w:color w:val="2E2D2D"/>
        </w:rPr>
        <w:t xml:space="preserve"> Shared Services Transformation)</w:t>
      </w:r>
    </w:p>
    <w:p w:rsidR="008637F0" w:rsidRPr="007F1945" w:rsidRDefault="008637F0"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896"/>
        <w:gridCol w:w="2350"/>
      </w:tblGrid>
      <w:tr w:rsidR="001C5E49" w:rsidTr="00A5242D">
        <w:tc>
          <w:tcPr>
            <w:tcW w:w="5274" w:type="dxa"/>
            <w:shd w:val="clear" w:color="auto" w:fill="auto"/>
          </w:tcPr>
          <w:p w:rsidR="001C5E49" w:rsidRPr="0031059E" w:rsidRDefault="001C5E49" w:rsidP="00E2196F">
            <w:pPr>
              <w:rPr>
                <w:rFonts w:cs="Arial"/>
              </w:rPr>
            </w:pPr>
            <w:r w:rsidRPr="0031059E">
              <w:rPr>
                <w:rFonts w:cs="Arial"/>
              </w:rPr>
              <w:t>Report Author:</w:t>
            </w:r>
          </w:p>
        </w:tc>
        <w:tc>
          <w:tcPr>
            <w:tcW w:w="1896" w:type="dxa"/>
            <w:shd w:val="clear" w:color="auto" w:fill="auto"/>
          </w:tcPr>
          <w:p w:rsidR="001C5E49" w:rsidRPr="0031059E" w:rsidRDefault="001C5E49" w:rsidP="00E2196F">
            <w:pPr>
              <w:rPr>
                <w:rFonts w:cs="Arial"/>
              </w:rPr>
            </w:pPr>
            <w:r w:rsidRPr="0031059E">
              <w:rPr>
                <w:rFonts w:cs="Arial"/>
              </w:rPr>
              <w:t>Telephone:</w:t>
            </w:r>
          </w:p>
        </w:tc>
        <w:tc>
          <w:tcPr>
            <w:tcW w:w="2350" w:type="dxa"/>
            <w:shd w:val="clear" w:color="auto" w:fill="auto"/>
          </w:tcPr>
          <w:p w:rsidR="001C5E49" w:rsidRPr="0031059E" w:rsidRDefault="001C5E49" w:rsidP="00E2196F">
            <w:pPr>
              <w:rPr>
                <w:rFonts w:cs="Arial"/>
              </w:rPr>
            </w:pPr>
            <w:r w:rsidRPr="0031059E">
              <w:rPr>
                <w:rFonts w:cs="Arial"/>
              </w:rPr>
              <w:t>Date:</w:t>
            </w:r>
            <w:r w:rsidR="008637F0">
              <w:rPr>
                <w:rFonts w:cs="Arial"/>
              </w:rPr>
              <w:t xml:space="preserve"> 28/01/2019</w:t>
            </w:r>
          </w:p>
        </w:tc>
      </w:tr>
      <w:tr w:rsidR="00C903AC" w:rsidTr="00A5242D">
        <w:tc>
          <w:tcPr>
            <w:tcW w:w="5274" w:type="dxa"/>
            <w:shd w:val="clear" w:color="auto" w:fill="auto"/>
          </w:tcPr>
          <w:p w:rsidR="00C903AC" w:rsidRPr="008637F0" w:rsidRDefault="00A5242D" w:rsidP="00C903AC">
            <w:pPr>
              <w:rPr>
                <w:rFonts w:cs="Arial"/>
              </w:rPr>
            </w:pPr>
            <w:r w:rsidRPr="008637F0">
              <w:rPr>
                <w:rFonts w:cs="Arial"/>
              </w:rPr>
              <w:t>Hanne Harland / Jane Blundell</w:t>
            </w:r>
          </w:p>
          <w:p w:rsidR="00C903AC" w:rsidRPr="008637F0" w:rsidRDefault="00C903AC" w:rsidP="00C903AC">
            <w:pPr>
              <w:ind w:left="-539" w:firstLine="539"/>
              <w:rPr>
                <w:rFonts w:cs="Arial"/>
              </w:rPr>
            </w:pPr>
          </w:p>
        </w:tc>
        <w:tc>
          <w:tcPr>
            <w:tcW w:w="1896" w:type="dxa"/>
            <w:shd w:val="clear" w:color="auto" w:fill="auto"/>
          </w:tcPr>
          <w:p w:rsidR="00C903AC" w:rsidRPr="0031059E" w:rsidRDefault="00A5242D" w:rsidP="00A5242D">
            <w:pPr>
              <w:rPr>
                <w:rFonts w:cs="Arial"/>
              </w:rPr>
            </w:pPr>
            <w:r>
              <w:rPr>
                <w:rFonts w:cs="Arial"/>
              </w:rPr>
              <w:t xml:space="preserve">01257 515028 </w:t>
            </w:r>
            <w:r w:rsidR="00C903AC">
              <w:rPr>
                <w:rFonts w:cs="Arial"/>
              </w:rPr>
              <w:t>01772 62</w:t>
            </w:r>
            <w:r>
              <w:rPr>
                <w:rFonts w:cs="Arial"/>
              </w:rPr>
              <w:t>5245</w:t>
            </w:r>
          </w:p>
        </w:tc>
        <w:tc>
          <w:tcPr>
            <w:tcW w:w="2350" w:type="dxa"/>
            <w:shd w:val="clear" w:color="auto" w:fill="auto"/>
          </w:tcPr>
          <w:p w:rsidR="00C903AC" w:rsidRPr="0031059E" w:rsidRDefault="00C903AC" w:rsidP="00C903AC">
            <w:pPr>
              <w:rPr>
                <w:rFonts w:cs="Arial"/>
              </w:rPr>
            </w:pP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D1249E">
      <w:rPr>
        <w:noProof/>
        <w:sz w:val="24"/>
      </w:rPr>
      <w:t>5</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71027F"/>
    <w:multiLevelType w:val="hybridMultilevel"/>
    <w:tmpl w:val="60E00592"/>
    <w:lvl w:ilvl="0" w:tplc="20DE2A08">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618CF"/>
    <w:multiLevelType w:val="hybridMultilevel"/>
    <w:tmpl w:val="6D38794C"/>
    <w:lvl w:ilvl="0" w:tplc="828E2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01FF8"/>
    <w:multiLevelType w:val="hybridMultilevel"/>
    <w:tmpl w:val="10C0EE8C"/>
    <w:lvl w:ilvl="0" w:tplc="A2807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78826410"/>
    <w:multiLevelType w:val="hybridMultilevel"/>
    <w:tmpl w:val="8E0E4700"/>
    <w:lvl w:ilvl="0" w:tplc="0BFC3C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5"/>
  </w:num>
  <w:num w:numId="8">
    <w:abstractNumId w:val="6"/>
  </w:num>
  <w:num w:numId="9">
    <w:abstractNumId w:val="2"/>
  </w:num>
  <w:num w:numId="10">
    <w:abstractNumId w:val="3"/>
  </w:num>
  <w:num w:numId="11">
    <w:abstractNumId w:val="4"/>
  </w:num>
  <w:num w:numId="12">
    <w:abstractNumId w:val="10"/>
  </w:num>
  <w:num w:numId="13">
    <w:abstractNumId w:val="0"/>
  </w:num>
  <w:num w:numId="14">
    <w:abstractNumId w:val="17"/>
  </w:num>
  <w:num w:numId="15">
    <w:abstractNumId w:val="8"/>
  </w:num>
  <w:num w:numId="16">
    <w:abstractNumId w:val="1"/>
  </w:num>
  <w:num w:numId="17">
    <w:abstractNumId w:val="16"/>
  </w:num>
  <w:num w:numId="18">
    <w:abstractNumId w:val="14"/>
  </w:num>
  <w:num w:numId="19">
    <w:abstractNumId w:val="18"/>
  </w:num>
  <w:num w:numId="2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77620"/>
    <w:rsid w:val="000B5251"/>
    <w:rsid w:val="000E10FE"/>
    <w:rsid w:val="000F2C8A"/>
    <w:rsid w:val="001544DD"/>
    <w:rsid w:val="0016289E"/>
    <w:rsid w:val="00184E1D"/>
    <w:rsid w:val="001938D6"/>
    <w:rsid w:val="001C5E49"/>
    <w:rsid w:val="002221BD"/>
    <w:rsid w:val="0025591B"/>
    <w:rsid w:val="002758C6"/>
    <w:rsid w:val="002820A5"/>
    <w:rsid w:val="00297B5B"/>
    <w:rsid w:val="002E4FF4"/>
    <w:rsid w:val="002F5C5E"/>
    <w:rsid w:val="00342AB1"/>
    <w:rsid w:val="00345C71"/>
    <w:rsid w:val="00386AAD"/>
    <w:rsid w:val="003902A2"/>
    <w:rsid w:val="003A1B3F"/>
    <w:rsid w:val="003A23D3"/>
    <w:rsid w:val="003A2919"/>
    <w:rsid w:val="003B1E6D"/>
    <w:rsid w:val="003C36EB"/>
    <w:rsid w:val="003E33E6"/>
    <w:rsid w:val="003F334C"/>
    <w:rsid w:val="003F5603"/>
    <w:rsid w:val="00405D4A"/>
    <w:rsid w:val="00420FD3"/>
    <w:rsid w:val="004218EA"/>
    <w:rsid w:val="00442C46"/>
    <w:rsid w:val="00474DA8"/>
    <w:rsid w:val="0047741D"/>
    <w:rsid w:val="004A45D4"/>
    <w:rsid w:val="004D7260"/>
    <w:rsid w:val="004F23B3"/>
    <w:rsid w:val="004F46BF"/>
    <w:rsid w:val="005041BB"/>
    <w:rsid w:val="00525728"/>
    <w:rsid w:val="00533525"/>
    <w:rsid w:val="00547120"/>
    <w:rsid w:val="00547481"/>
    <w:rsid w:val="0055630D"/>
    <w:rsid w:val="00576A82"/>
    <w:rsid w:val="005A26AD"/>
    <w:rsid w:val="005B0C36"/>
    <w:rsid w:val="005D4F59"/>
    <w:rsid w:val="0060374B"/>
    <w:rsid w:val="006211F4"/>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338AC"/>
    <w:rsid w:val="00772B9C"/>
    <w:rsid w:val="00792A2B"/>
    <w:rsid w:val="008637F0"/>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17B2B"/>
    <w:rsid w:val="00A22D02"/>
    <w:rsid w:val="00A30426"/>
    <w:rsid w:val="00A4702E"/>
    <w:rsid w:val="00A50754"/>
    <w:rsid w:val="00A5242D"/>
    <w:rsid w:val="00A56681"/>
    <w:rsid w:val="00A76482"/>
    <w:rsid w:val="00AA6F4C"/>
    <w:rsid w:val="00AC4A99"/>
    <w:rsid w:val="00B05FE8"/>
    <w:rsid w:val="00B1788B"/>
    <w:rsid w:val="00B443DD"/>
    <w:rsid w:val="00B51DB8"/>
    <w:rsid w:val="00B62D79"/>
    <w:rsid w:val="00B70B91"/>
    <w:rsid w:val="00B716F5"/>
    <w:rsid w:val="00B72A06"/>
    <w:rsid w:val="00B766C4"/>
    <w:rsid w:val="00B92298"/>
    <w:rsid w:val="00BA2606"/>
    <w:rsid w:val="00BC6635"/>
    <w:rsid w:val="00BE2A3F"/>
    <w:rsid w:val="00C022F9"/>
    <w:rsid w:val="00C123A9"/>
    <w:rsid w:val="00C209E3"/>
    <w:rsid w:val="00C30128"/>
    <w:rsid w:val="00C50D18"/>
    <w:rsid w:val="00C52450"/>
    <w:rsid w:val="00C64ED1"/>
    <w:rsid w:val="00C66403"/>
    <w:rsid w:val="00C66BAA"/>
    <w:rsid w:val="00C903AC"/>
    <w:rsid w:val="00CB32DF"/>
    <w:rsid w:val="00CC3246"/>
    <w:rsid w:val="00CE3DA1"/>
    <w:rsid w:val="00CE4482"/>
    <w:rsid w:val="00CF6B60"/>
    <w:rsid w:val="00D03328"/>
    <w:rsid w:val="00D1249E"/>
    <w:rsid w:val="00D16598"/>
    <w:rsid w:val="00D36638"/>
    <w:rsid w:val="00D37BAE"/>
    <w:rsid w:val="00D772AB"/>
    <w:rsid w:val="00D90A00"/>
    <w:rsid w:val="00D91845"/>
    <w:rsid w:val="00D9371C"/>
    <w:rsid w:val="00DB3FD0"/>
    <w:rsid w:val="00DE5E12"/>
    <w:rsid w:val="00E2196F"/>
    <w:rsid w:val="00E2276E"/>
    <w:rsid w:val="00E273F1"/>
    <w:rsid w:val="00E41950"/>
    <w:rsid w:val="00E44069"/>
    <w:rsid w:val="00E569CB"/>
    <w:rsid w:val="00E577A2"/>
    <w:rsid w:val="00E60A53"/>
    <w:rsid w:val="00E63940"/>
    <w:rsid w:val="00E733A5"/>
    <w:rsid w:val="00E753EC"/>
    <w:rsid w:val="00E84459"/>
    <w:rsid w:val="00E94202"/>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649">
      <w:bodyDiv w:val="1"/>
      <w:marLeft w:val="0"/>
      <w:marRight w:val="0"/>
      <w:marTop w:val="0"/>
      <w:marBottom w:val="0"/>
      <w:divBdr>
        <w:top w:val="none" w:sz="0" w:space="0" w:color="auto"/>
        <w:left w:val="none" w:sz="0" w:space="0" w:color="auto"/>
        <w:bottom w:val="none" w:sz="0" w:space="0" w:color="auto"/>
        <w:right w:val="none" w:sz="0" w:space="0" w:color="auto"/>
      </w:divBdr>
    </w:div>
    <w:div w:id="361365741">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92157824">
      <w:bodyDiv w:val="1"/>
      <w:marLeft w:val="0"/>
      <w:marRight w:val="0"/>
      <w:marTop w:val="0"/>
      <w:marBottom w:val="0"/>
      <w:divBdr>
        <w:top w:val="none" w:sz="0" w:space="0" w:color="auto"/>
        <w:left w:val="none" w:sz="0" w:space="0" w:color="auto"/>
        <w:bottom w:val="none" w:sz="0" w:space="0" w:color="auto"/>
        <w:right w:val="none" w:sz="0" w:space="0" w:color="auto"/>
      </w:divBdr>
    </w:div>
    <w:div w:id="1073889111">
      <w:bodyDiv w:val="1"/>
      <w:marLeft w:val="0"/>
      <w:marRight w:val="0"/>
      <w:marTop w:val="0"/>
      <w:marBottom w:val="0"/>
      <w:divBdr>
        <w:top w:val="none" w:sz="0" w:space="0" w:color="auto"/>
        <w:left w:val="none" w:sz="0" w:space="0" w:color="auto"/>
        <w:bottom w:val="none" w:sz="0" w:space="0" w:color="auto"/>
        <w:right w:val="none" w:sz="0" w:space="0" w:color="auto"/>
      </w:divBdr>
    </w:div>
    <w:div w:id="1256750502">
      <w:bodyDiv w:val="1"/>
      <w:marLeft w:val="0"/>
      <w:marRight w:val="0"/>
      <w:marTop w:val="0"/>
      <w:marBottom w:val="0"/>
      <w:divBdr>
        <w:top w:val="none" w:sz="0" w:space="0" w:color="auto"/>
        <w:left w:val="none" w:sz="0" w:space="0" w:color="auto"/>
        <w:bottom w:val="none" w:sz="0" w:space="0" w:color="auto"/>
        <w:right w:val="none" w:sz="0" w:space="0" w:color="auto"/>
      </w:divBdr>
    </w:div>
    <w:div w:id="1330057524">
      <w:bodyDiv w:val="1"/>
      <w:marLeft w:val="0"/>
      <w:marRight w:val="0"/>
      <w:marTop w:val="0"/>
      <w:marBottom w:val="0"/>
      <w:divBdr>
        <w:top w:val="none" w:sz="0" w:space="0" w:color="auto"/>
        <w:left w:val="none" w:sz="0" w:space="0" w:color="auto"/>
        <w:bottom w:val="none" w:sz="0" w:space="0" w:color="auto"/>
        <w:right w:val="none" w:sz="0" w:space="0" w:color="auto"/>
      </w:divBdr>
    </w:div>
    <w:div w:id="1468401219">
      <w:bodyDiv w:val="1"/>
      <w:marLeft w:val="0"/>
      <w:marRight w:val="0"/>
      <w:marTop w:val="0"/>
      <w:marBottom w:val="0"/>
      <w:divBdr>
        <w:top w:val="none" w:sz="0" w:space="0" w:color="auto"/>
        <w:left w:val="none" w:sz="0" w:space="0" w:color="auto"/>
        <w:bottom w:val="none" w:sz="0" w:space="0" w:color="auto"/>
        <w:right w:val="none" w:sz="0" w:space="0" w:color="auto"/>
      </w:divBdr>
    </w:div>
    <w:div w:id="1546064528">
      <w:bodyDiv w:val="1"/>
      <w:marLeft w:val="0"/>
      <w:marRight w:val="0"/>
      <w:marTop w:val="0"/>
      <w:marBottom w:val="0"/>
      <w:divBdr>
        <w:top w:val="none" w:sz="0" w:space="0" w:color="auto"/>
        <w:left w:val="none" w:sz="0" w:space="0" w:color="auto"/>
        <w:bottom w:val="none" w:sz="0" w:space="0" w:color="auto"/>
        <w:right w:val="none" w:sz="0" w:space="0" w:color="auto"/>
      </w:divBdr>
    </w:div>
    <w:div w:id="1639605010">
      <w:bodyDiv w:val="1"/>
      <w:marLeft w:val="0"/>
      <w:marRight w:val="0"/>
      <w:marTop w:val="0"/>
      <w:marBottom w:val="0"/>
      <w:divBdr>
        <w:top w:val="none" w:sz="0" w:space="0" w:color="auto"/>
        <w:left w:val="none" w:sz="0" w:space="0" w:color="auto"/>
        <w:bottom w:val="none" w:sz="0" w:space="0" w:color="auto"/>
        <w:right w:val="none" w:sz="0" w:space="0" w:color="auto"/>
      </w:divBdr>
    </w:div>
    <w:div w:id="1749233049">
      <w:bodyDiv w:val="1"/>
      <w:marLeft w:val="0"/>
      <w:marRight w:val="0"/>
      <w:marTop w:val="0"/>
      <w:marBottom w:val="0"/>
      <w:divBdr>
        <w:top w:val="none" w:sz="0" w:space="0" w:color="auto"/>
        <w:left w:val="none" w:sz="0" w:space="0" w:color="auto"/>
        <w:bottom w:val="none" w:sz="0" w:space="0" w:color="auto"/>
        <w:right w:val="none" w:sz="0" w:space="0" w:color="auto"/>
      </w:divBdr>
    </w:div>
    <w:div w:id="205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99A4-1297-40DA-B516-20DBE2BE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5</Pages>
  <Words>1174</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2018-03-14T15:24:00Z</cp:lastPrinted>
  <dcterms:created xsi:type="dcterms:W3CDTF">2019-01-30T17:19:00Z</dcterms:created>
  <dcterms:modified xsi:type="dcterms:W3CDTF">2019-01-30T17:20:00Z</dcterms:modified>
</cp:coreProperties>
</file>